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90C" w:rsidRDefault="003C290C" w:rsidP="003C290C">
      <w:pPr>
        <w:pStyle w:val="aa"/>
        <w:tabs>
          <w:tab w:val="right" w:pos="9639"/>
        </w:tabs>
        <w:jc w:val="both"/>
        <w:rPr>
          <w:sz w:val="24"/>
        </w:rPr>
      </w:pPr>
      <w:r>
        <w:rPr>
          <w:sz w:val="24"/>
        </w:rPr>
        <w:t>3GPP TSG-RAN WG4 Meeting #94-e-Bis</w:t>
      </w:r>
      <w:r>
        <w:rPr>
          <w:sz w:val="24"/>
        </w:rPr>
        <w:tab/>
      </w:r>
      <w:r>
        <w:rPr>
          <w:i/>
          <w:sz w:val="28"/>
          <w:szCs w:val="28"/>
        </w:rPr>
        <w:t>R4-200</w:t>
      </w:r>
      <w:r w:rsidR="005C71BF">
        <w:rPr>
          <w:i/>
          <w:sz w:val="28"/>
          <w:szCs w:val="28"/>
        </w:rPr>
        <w:t>4108</w:t>
      </w:r>
    </w:p>
    <w:p w:rsidR="007C232C" w:rsidRPr="004B79F7" w:rsidRDefault="003C290C" w:rsidP="003C290C">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0</w:t>
      </w:r>
      <w:r w:rsidRPr="004B79F7">
        <w:rPr>
          <w:rFonts w:ascii="Arial" w:hAnsi="Arial"/>
          <w:b/>
          <w:sz w:val="24"/>
          <w:szCs w:val="24"/>
        </w:rPr>
        <w:t xml:space="preserve"> </w:t>
      </w:r>
      <w:r>
        <w:rPr>
          <w:rFonts w:ascii="Arial" w:hAnsi="Arial"/>
          <w:b/>
          <w:sz w:val="24"/>
          <w:szCs w:val="24"/>
        </w:rPr>
        <w:t>April</w:t>
      </w:r>
      <w:r w:rsidRPr="004B79F7">
        <w:rPr>
          <w:rFonts w:ascii="Arial" w:hAnsi="Arial"/>
          <w:b/>
          <w:sz w:val="24"/>
          <w:szCs w:val="24"/>
        </w:rPr>
        <w:t xml:space="preserve"> – </w:t>
      </w:r>
      <w:r>
        <w:rPr>
          <w:rFonts w:ascii="Arial" w:hAnsi="Arial"/>
          <w:b/>
          <w:sz w:val="24"/>
          <w:szCs w:val="24"/>
        </w:rPr>
        <w:t>30</w:t>
      </w:r>
      <w:r w:rsidRPr="004B79F7">
        <w:rPr>
          <w:rFonts w:ascii="Arial" w:hAnsi="Arial"/>
          <w:b/>
          <w:sz w:val="24"/>
          <w:szCs w:val="24"/>
        </w:rPr>
        <w:t xml:space="preserve"> </w:t>
      </w:r>
      <w:r>
        <w:rPr>
          <w:rFonts w:ascii="Arial" w:hAnsi="Arial"/>
          <w:b/>
          <w:sz w:val="24"/>
          <w:szCs w:val="24"/>
        </w:rPr>
        <w:t>April</w:t>
      </w:r>
      <w:r>
        <w:rPr>
          <w:b/>
          <w:sz w:val="24"/>
          <w:szCs w:val="24"/>
        </w:rPr>
        <w:t xml:space="preserve">, </w:t>
      </w:r>
      <w:r>
        <w:rPr>
          <w:rFonts w:ascii="Arial" w:hAnsi="Arial"/>
          <w:b/>
          <w:sz w:val="24"/>
          <w:szCs w:val="24"/>
        </w:rPr>
        <w:t>2020</w:t>
      </w:r>
    </w:p>
    <w:p w:rsidR="00D807C3" w:rsidRPr="007C232C"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934D51">
        <w:rPr>
          <w:lang w:val="en-US"/>
        </w:rPr>
        <w:t>Remaining open issues</w:t>
      </w:r>
      <w:r w:rsidR="00820234" w:rsidRPr="00820234">
        <w:rPr>
          <w:lang w:val="en-US"/>
        </w:rPr>
        <w:t xml:space="preserve"> on</w:t>
      </w:r>
      <w:r w:rsidR="0040365B">
        <w:rPr>
          <w:lang w:val="en-US"/>
        </w:rPr>
        <w:t xml:space="preserve"> NR</w:t>
      </w:r>
      <w:r w:rsidR="00820234" w:rsidRPr="00820234">
        <w:rPr>
          <w:lang w:val="en-US"/>
        </w:rPr>
        <w:t xml:space="preserve"> </w:t>
      </w:r>
      <w:r w:rsidR="0040365B" w:rsidRPr="0040365B">
        <w:rPr>
          <w:lang w:val="en-US"/>
        </w:rPr>
        <w:t>SRS carrier switching RRM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3C290C">
        <w:rPr>
          <w:lang w:val="en-US"/>
        </w:rPr>
        <w:t>6</w:t>
      </w:r>
      <w:r w:rsidR="008951DE" w:rsidRPr="008951DE">
        <w:rPr>
          <w:lang w:val="en-US"/>
        </w:rPr>
        <w:t>.</w:t>
      </w:r>
      <w:r w:rsidR="00335F78">
        <w:rPr>
          <w:lang w:val="en-US"/>
        </w:rPr>
        <w:t>15.</w:t>
      </w:r>
      <w:r w:rsidR="009A178B">
        <w:rPr>
          <w:lang w:val="en-US"/>
        </w:rPr>
        <w:t>1</w:t>
      </w:r>
      <w:r w:rsidR="00335F78">
        <w:rPr>
          <w:lang w:val="en-US"/>
        </w:rPr>
        <w:t>.</w:t>
      </w:r>
      <w:r w:rsidR="0040365B">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382420" w:rsidRDefault="00402F70" w:rsidP="00382420">
      <w:pPr>
        <w:spacing w:after="120"/>
        <w:jc w:val="both"/>
        <w:rPr>
          <w:rFonts w:cs="v4.2.0"/>
          <w:lang w:val="en-US"/>
        </w:rPr>
      </w:pPr>
      <w:r>
        <w:rPr>
          <w:rFonts w:cs="v4.2.0"/>
          <w:lang w:val="en-US"/>
        </w:rPr>
        <w:t>In the RAN4#9</w:t>
      </w:r>
      <w:r w:rsidR="007A1FED">
        <w:rPr>
          <w:rFonts w:cs="v4.2.0"/>
          <w:lang w:val="en-US"/>
        </w:rPr>
        <w:t>4-e</w:t>
      </w:r>
      <w:r>
        <w:rPr>
          <w:rFonts w:cs="v4.2.0"/>
          <w:lang w:val="en-US"/>
        </w:rPr>
        <w:t xml:space="preserve"> meeting, there were </w:t>
      </w:r>
      <w:r w:rsidR="002833CA">
        <w:rPr>
          <w:rFonts w:cs="v4.2.0"/>
          <w:lang w:val="en-US"/>
        </w:rPr>
        <w:t xml:space="preserve">further </w:t>
      </w:r>
      <w:r w:rsidR="00BB453A">
        <w:rPr>
          <w:rFonts w:cs="v4.2.0"/>
          <w:lang w:val="en-US"/>
        </w:rPr>
        <w:t xml:space="preserve">discussions on </w:t>
      </w:r>
      <w:r w:rsidR="0040365B">
        <w:rPr>
          <w:rFonts w:cs="v4.2.0"/>
          <w:lang w:val="en-US"/>
        </w:rPr>
        <w:t>NR SRS carrier switching</w:t>
      </w:r>
      <w:r>
        <w:rPr>
          <w:rFonts w:cs="v4.2.0"/>
          <w:lang w:val="en-US"/>
        </w:rPr>
        <w:t>.</w:t>
      </w:r>
      <w:r w:rsidR="00BB453A">
        <w:rPr>
          <w:rFonts w:cs="v4.2.0"/>
          <w:lang w:val="en-US"/>
        </w:rPr>
        <w:t xml:space="preserve"> </w:t>
      </w:r>
      <w:r w:rsidR="002833CA">
        <w:rPr>
          <w:rFonts w:cs="v4.2.0"/>
          <w:lang w:val="en-US"/>
        </w:rPr>
        <w:t>Good p</w:t>
      </w:r>
      <w:r w:rsidR="00BB453A">
        <w:rPr>
          <w:rFonts w:cs="v4.2.0"/>
          <w:lang w:val="en-US"/>
        </w:rPr>
        <w:t>rogress w</w:t>
      </w:r>
      <w:r w:rsidR="002833CA">
        <w:rPr>
          <w:rFonts w:cs="v4.2.0"/>
          <w:lang w:val="en-US"/>
        </w:rPr>
        <w:t>as</w:t>
      </w:r>
      <w:r w:rsidR="00BB453A">
        <w:rPr>
          <w:rFonts w:cs="v4.2.0"/>
          <w:lang w:val="en-US"/>
        </w:rPr>
        <w:t xml:space="preserve"> made</w:t>
      </w:r>
      <w:r w:rsidR="002833CA">
        <w:rPr>
          <w:rFonts w:cs="v4.2.0"/>
          <w:lang w:val="en-US"/>
        </w:rPr>
        <w:t xml:space="preserve">. The </w:t>
      </w:r>
      <w:r w:rsidR="007A1FED">
        <w:rPr>
          <w:rFonts w:cs="v4.2.0"/>
          <w:lang w:val="en-US"/>
        </w:rPr>
        <w:t xml:space="preserve">remaining </w:t>
      </w:r>
      <w:r w:rsidR="00816B04">
        <w:rPr>
          <w:rFonts w:cs="v4.2.0"/>
          <w:lang w:val="en-US"/>
        </w:rPr>
        <w:t>open issues</w:t>
      </w:r>
      <w:r w:rsidR="002833CA">
        <w:rPr>
          <w:rFonts w:cs="v4.2.0"/>
          <w:lang w:val="en-US"/>
        </w:rPr>
        <w:t xml:space="preserve"> </w:t>
      </w:r>
      <w:r w:rsidR="004B428B">
        <w:rPr>
          <w:rFonts w:cs="v4.2.0"/>
          <w:lang w:val="en-US"/>
        </w:rPr>
        <w:t>are captured in way forward [1].</w:t>
      </w:r>
    </w:p>
    <w:tbl>
      <w:tblPr>
        <w:tblStyle w:val="af9"/>
        <w:tblW w:w="0" w:type="auto"/>
        <w:tblLook w:val="04A0" w:firstRow="1" w:lastRow="0" w:firstColumn="1" w:lastColumn="0" w:noHBand="0" w:noVBand="1"/>
      </w:tblPr>
      <w:tblGrid>
        <w:gridCol w:w="9629"/>
      </w:tblGrid>
      <w:tr w:rsidR="007A1FED" w:rsidRPr="007A1FED" w:rsidTr="007A1FED">
        <w:tc>
          <w:tcPr>
            <w:tcW w:w="9629" w:type="dxa"/>
          </w:tcPr>
          <w:p w:rsidR="008519D8" w:rsidRPr="007A1FED" w:rsidRDefault="000A447E" w:rsidP="007A1FED">
            <w:pPr>
              <w:numPr>
                <w:ilvl w:val="0"/>
                <w:numId w:val="20"/>
              </w:numPr>
              <w:spacing w:after="0"/>
              <w:jc w:val="both"/>
              <w:rPr>
                <w:rFonts w:cs="v4.2.0"/>
                <w:i/>
                <w:lang w:val="en-US"/>
              </w:rPr>
            </w:pPr>
            <w:r w:rsidRPr="007A1FED">
              <w:rPr>
                <w:rFonts w:cs="v4.2.0"/>
                <w:i/>
                <w:lang w:val="en-US"/>
              </w:rPr>
              <w:t>The applicability of SRS carrier switching time in LS R4-1811534 applies to both FR1 and FR2</w:t>
            </w:r>
          </w:p>
          <w:p w:rsidR="008519D8" w:rsidRPr="007A1FED" w:rsidRDefault="000A447E" w:rsidP="007A1FED">
            <w:pPr>
              <w:numPr>
                <w:ilvl w:val="1"/>
                <w:numId w:val="20"/>
              </w:numPr>
              <w:spacing w:after="0"/>
              <w:jc w:val="both"/>
              <w:rPr>
                <w:rFonts w:cs="v4.2.0"/>
                <w:i/>
                <w:lang w:val="en-US"/>
              </w:rPr>
            </w:pPr>
            <w:r w:rsidRPr="007A1FED">
              <w:rPr>
                <w:rFonts w:cs="v4.2.0"/>
                <w:i/>
                <w:lang w:val="en-US"/>
              </w:rPr>
              <w:t>Interruption requirements are specified for FR2 intra-band CA in Rel-16.</w:t>
            </w:r>
          </w:p>
          <w:p w:rsidR="008519D8" w:rsidRPr="007A1FED" w:rsidRDefault="000A447E" w:rsidP="007A1FED">
            <w:pPr>
              <w:numPr>
                <w:ilvl w:val="1"/>
                <w:numId w:val="20"/>
              </w:numPr>
              <w:spacing w:after="0"/>
              <w:jc w:val="both"/>
              <w:rPr>
                <w:rFonts w:cs="v4.2.0"/>
                <w:i/>
                <w:lang w:val="en-US"/>
              </w:rPr>
            </w:pPr>
            <w:r w:rsidRPr="007A1FED">
              <w:rPr>
                <w:rFonts w:cs="v4.2.0"/>
                <w:i/>
                <w:lang w:val="en-US"/>
              </w:rPr>
              <w:t>FFS interruption requirements for FR2 inter-band CA in Rel-16</w:t>
            </w:r>
          </w:p>
          <w:p w:rsidR="008519D8" w:rsidRPr="007A1FED" w:rsidRDefault="000A447E" w:rsidP="007A1FED">
            <w:pPr>
              <w:numPr>
                <w:ilvl w:val="0"/>
                <w:numId w:val="20"/>
              </w:numPr>
              <w:spacing w:after="0"/>
              <w:jc w:val="both"/>
              <w:rPr>
                <w:rFonts w:cs="v4.2.0"/>
                <w:i/>
                <w:lang w:val="en-US"/>
              </w:rPr>
            </w:pPr>
            <w:r w:rsidRPr="007A1FED">
              <w:rPr>
                <w:rFonts w:cs="v4.2.0"/>
                <w:i/>
                <w:lang w:val="en-US"/>
              </w:rPr>
              <w:t>Define requirements for 200us, 500us and 900us SRS carrier switching time (agreements in the last meeting)</w:t>
            </w:r>
          </w:p>
          <w:p w:rsidR="008519D8" w:rsidRPr="007A1FED" w:rsidRDefault="000A447E" w:rsidP="007A1FED">
            <w:pPr>
              <w:numPr>
                <w:ilvl w:val="1"/>
                <w:numId w:val="20"/>
              </w:numPr>
              <w:spacing w:after="0"/>
              <w:jc w:val="both"/>
              <w:rPr>
                <w:rFonts w:cs="v4.2.0"/>
                <w:i/>
                <w:lang w:val="en-US"/>
              </w:rPr>
            </w:pPr>
            <w:r w:rsidRPr="007A1FED">
              <w:rPr>
                <w:rFonts w:cs="v4.2.0"/>
                <w:i/>
                <w:lang w:val="en-US"/>
              </w:rPr>
              <w:t>FFS if following applicability should be captured in RAN4 spec</w:t>
            </w:r>
          </w:p>
          <w:p w:rsidR="008519D8" w:rsidRPr="007A1FED" w:rsidRDefault="000A447E" w:rsidP="007A1FED">
            <w:pPr>
              <w:numPr>
                <w:ilvl w:val="2"/>
                <w:numId w:val="20"/>
              </w:numPr>
              <w:spacing w:after="0"/>
              <w:jc w:val="both"/>
              <w:rPr>
                <w:rFonts w:cs="v4.2.0"/>
                <w:i/>
                <w:lang w:val="en-US"/>
              </w:rPr>
            </w:pPr>
            <w:r w:rsidRPr="007A1FED">
              <w:rPr>
                <w:rFonts w:cs="v4.2.0"/>
                <w:i/>
                <w:lang w:val="en-US"/>
              </w:rPr>
              <w:t>200us SRS carrier switching time applies to intra-band CA in both FR1 and FR2.</w:t>
            </w:r>
          </w:p>
          <w:p w:rsidR="008519D8" w:rsidRPr="007A1FED" w:rsidRDefault="000A447E" w:rsidP="007A1FED">
            <w:pPr>
              <w:numPr>
                <w:ilvl w:val="2"/>
                <w:numId w:val="20"/>
              </w:numPr>
              <w:spacing w:after="0"/>
              <w:jc w:val="both"/>
              <w:rPr>
                <w:rFonts w:cs="v4.2.0"/>
                <w:i/>
                <w:lang w:val="en-US"/>
              </w:rPr>
            </w:pPr>
            <w:r w:rsidRPr="007A1FED">
              <w:rPr>
                <w:rFonts w:cs="v4.2.0"/>
                <w:i/>
                <w:lang w:val="en-US"/>
              </w:rPr>
              <w:t>200us, 500us and 900us SRS carrier switching time apply to inter-band CA in FR1 and between FR1 and FR2.</w:t>
            </w:r>
          </w:p>
          <w:p w:rsidR="008519D8" w:rsidRPr="007A1FED" w:rsidRDefault="000A447E" w:rsidP="007A1FED">
            <w:pPr>
              <w:numPr>
                <w:ilvl w:val="0"/>
                <w:numId w:val="20"/>
              </w:numPr>
              <w:spacing w:after="0"/>
              <w:jc w:val="both"/>
              <w:rPr>
                <w:rFonts w:cs="v4.2.0"/>
                <w:i/>
                <w:lang w:val="en-US"/>
              </w:rPr>
            </w:pPr>
            <w:r w:rsidRPr="007A1FED">
              <w:rPr>
                <w:rFonts w:cs="v4.2.0"/>
                <w:i/>
                <w:lang w:val="en-US"/>
              </w:rPr>
              <w:t>FFS whether to define the requirements for sync case in CA</w:t>
            </w:r>
          </w:p>
          <w:p w:rsidR="008519D8" w:rsidRPr="007A1FED" w:rsidRDefault="000A447E" w:rsidP="007A1FED">
            <w:pPr>
              <w:numPr>
                <w:ilvl w:val="0"/>
                <w:numId w:val="20"/>
              </w:numPr>
              <w:spacing w:after="0"/>
              <w:jc w:val="both"/>
              <w:rPr>
                <w:rFonts w:cs="v4.2.0"/>
                <w:i/>
                <w:lang w:val="en-US"/>
              </w:rPr>
            </w:pPr>
            <w:r w:rsidRPr="007A1FED">
              <w:rPr>
                <w:rFonts w:cs="v4.2.0"/>
                <w:i/>
                <w:lang w:val="en-US"/>
              </w:rPr>
              <w:t>Interruptions due to SRS carrier switching in different frequency range</w:t>
            </w:r>
          </w:p>
          <w:p w:rsidR="008519D8" w:rsidRPr="007A1FED" w:rsidRDefault="000A447E" w:rsidP="007A1FED">
            <w:pPr>
              <w:numPr>
                <w:ilvl w:val="1"/>
                <w:numId w:val="20"/>
              </w:numPr>
              <w:spacing w:after="0"/>
              <w:jc w:val="both"/>
              <w:rPr>
                <w:rFonts w:cs="v4.2.0"/>
                <w:i/>
                <w:lang w:val="en-US"/>
              </w:rPr>
            </w:pPr>
            <w:r w:rsidRPr="007A1FED">
              <w:rPr>
                <w:rFonts w:cs="v4.2.0"/>
                <w:i/>
                <w:lang w:val="en-US"/>
              </w:rPr>
              <w:t>Option 1 : Interruptions are always allowed</w:t>
            </w:r>
          </w:p>
          <w:p w:rsidR="008519D8" w:rsidRPr="007A1FED" w:rsidRDefault="000A447E" w:rsidP="007A1FED">
            <w:pPr>
              <w:numPr>
                <w:ilvl w:val="1"/>
                <w:numId w:val="20"/>
              </w:numPr>
              <w:spacing w:after="0"/>
              <w:jc w:val="both"/>
              <w:rPr>
                <w:rFonts w:cs="v4.2.0"/>
                <w:i/>
                <w:lang w:val="en-US"/>
              </w:rPr>
            </w:pPr>
            <w:r w:rsidRPr="007A1FED">
              <w:rPr>
                <w:rFonts w:cs="v4.2.0"/>
                <w:i/>
                <w:lang w:val="en-US"/>
              </w:rPr>
              <w:t>Option 2 : Interruptions are allowed based on UE capability</w:t>
            </w:r>
          </w:p>
          <w:p w:rsidR="008519D8" w:rsidRPr="007A1FED" w:rsidRDefault="000A447E" w:rsidP="007A1FED">
            <w:pPr>
              <w:numPr>
                <w:ilvl w:val="2"/>
                <w:numId w:val="20"/>
              </w:numPr>
              <w:spacing w:after="0"/>
              <w:jc w:val="both"/>
              <w:rPr>
                <w:rFonts w:cs="v4.2.0"/>
                <w:i/>
                <w:lang w:val="en-US"/>
              </w:rPr>
            </w:pPr>
            <w:r w:rsidRPr="007A1FED">
              <w:rPr>
                <w:rFonts w:cs="v4.2.0"/>
                <w:i/>
                <w:lang w:val="en-US"/>
              </w:rPr>
              <w:t xml:space="preserve">Allowed if UE supports per-UE measurement gap only </w:t>
            </w:r>
          </w:p>
          <w:p w:rsidR="008519D8" w:rsidRPr="007A1FED" w:rsidRDefault="000A447E" w:rsidP="007A1FED">
            <w:pPr>
              <w:numPr>
                <w:ilvl w:val="2"/>
                <w:numId w:val="20"/>
              </w:numPr>
              <w:spacing w:after="0"/>
              <w:jc w:val="both"/>
              <w:rPr>
                <w:rFonts w:cs="v4.2.0"/>
                <w:i/>
                <w:lang w:val="en-US"/>
              </w:rPr>
            </w:pPr>
            <w:r w:rsidRPr="007A1FED">
              <w:rPr>
                <w:rFonts w:cs="v4.2.0"/>
                <w:i/>
                <w:lang w:val="en-US"/>
              </w:rPr>
              <w:t>Not allowed if UE supports per-FR measurement gap</w:t>
            </w:r>
          </w:p>
          <w:p w:rsidR="007A1FED" w:rsidRPr="007A1FED" w:rsidRDefault="000A447E" w:rsidP="007A1FED">
            <w:pPr>
              <w:numPr>
                <w:ilvl w:val="1"/>
                <w:numId w:val="20"/>
              </w:numPr>
              <w:spacing w:after="0"/>
              <w:jc w:val="both"/>
              <w:rPr>
                <w:rFonts w:cs="v4.2.0"/>
                <w:i/>
                <w:lang w:val="en-US"/>
              </w:rPr>
            </w:pPr>
            <w:r w:rsidRPr="007A1FED">
              <w:rPr>
                <w:rFonts w:cs="v4.2.0"/>
                <w:i/>
                <w:lang w:val="en-US"/>
              </w:rPr>
              <w:t>Option 3 : Interruptions are not allowed for FR1+FR2 EN-DC</w:t>
            </w:r>
          </w:p>
        </w:tc>
      </w:tr>
    </w:tbl>
    <w:p w:rsidR="007A1FED" w:rsidRDefault="007A1FED" w:rsidP="00382420">
      <w:pPr>
        <w:spacing w:after="120"/>
        <w:jc w:val="both"/>
        <w:rPr>
          <w:rFonts w:cs="v4.2.0"/>
          <w:lang w:val="en-US"/>
        </w:rPr>
      </w:pPr>
    </w:p>
    <w:p w:rsidR="00E4237F" w:rsidRDefault="00EC6B47" w:rsidP="00382420">
      <w:pPr>
        <w:spacing w:after="120"/>
        <w:jc w:val="both"/>
        <w:rPr>
          <w:rFonts w:cs="v4.2.0"/>
          <w:lang w:val="en-US"/>
        </w:rPr>
      </w:pPr>
      <w:r>
        <w:rPr>
          <w:rFonts w:cs="v4.2.0" w:hint="eastAsia"/>
          <w:lang w:val="en-US"/>
        </w:rPr>
        <w:t xml:space="preserve">In this contribution we </w:t>
      </w:r>
      <w:r w:rsidR="0062176F">
        <w:rPr>
          <w:rFonts w:cs="v4.2.0"/>
          <w:lang w:val="en-US"/>
        </w:rPr>
        <w:t xml:space="preserve">further </w:t>
      </w:r>
      <w:r>
        <w:rPr>
          <w:rFonts w:cs="v4.2.0" w:hint="eastAsia"/>
          <w:lang w:val="en-US"/>
        </w:rPr>
        <w:t xml:space="preserve">provide our views on </w:t>
      </w:r>
      <w:r w:rsidR="007A1FED">
        <w:rPr>
          <w:rFonts w:cs="v4.2.0"/>
          <w:lang w:val="en-US"/>
        </w:rPr>
        <w:t xml:space="preserve">remaining open issues on </w:t>
      </w:r>
      <w:r w:rsidR="0062176F">
        <w:rPr>
          <w:rFonts w:cs="v4.2.0"/>
          <w:lang w:val="en-US"/>
        </w:rPr>
        <w:t xml:space="preserve">RRM </w:t>
      </w:r>
      <w:r w:rsidR="00570F6B">
        <w:rPr>
          <w:rFonts w:cs="v4.2.0"/>
          <w:lang w:val="en-US"/>
        </w:rPr>
        <w:t xml:space="preserve">requirements for </w:t>
      </w:r>
      <w:r w:rsidR="0062176F">
        <w:rPr>
          <w:rFonts w:cs="v4.2.0"/>
          <w:lang w:val="en-US"/>
        </w:rPr>
        <w:t>NR SRS carrier switching</w:t>
      </w:r>
      <w:r>
        <w:rPr>
          <w:rFonts w:cs="v4.2.0" w:hint="eastAsia"/>
          <w:lang w:val="en-US"/>
        </w:rPr>
        <w:t>.</w:t>
      </w:r>
    </w:p>
    <w:p w:rsidR="007A1FED" w:rsidRPr="00816B04" w:rsidRDefault="007A1FED"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7A1FED" w:rsidRPr="004B18FE" w:rsidRDefault="007A1FED" w:rsidP="004B18FE">
      <w:pPr>
        <w:rPr>
          <w:b/>
          <w:i/>
          <w:u w:val="single"/>
          <w:lang w:val="en-US"/>
        </w:rPr>
      </w:pPr>
      <w:r w:rsidRPr="004B18FE">
        <w:rPr>
          <w:b/>
          <w:i/>
          <w:u w:val="single"/>
          <w:lang w:val="en-US"/>
        </w:rPr>
        <w:t>FFS interruption requirements for FR2 inter-band CA in Rel-16</w:t>
      </w:r>
    </w:p>
    <w:p w:rsidR="007A1FED" w:rsidRDefault="007A1FED" w:rsidP="007A1FED">
      <w:pPr>
        <w:spacing w:after="120"/>
        <w:rPr>
          <w:rFonts w:eastAsiaTheme="minorEastAsia"/>
          <w:szCs w:val="24"/>
          <w:lang w:val="en-US"/>
        </w:rPr>
      </w:pPr>
      <w:r>
        <w:rPr>
          <w:rFonts w:eastAsiaTheme="minorEastAsia" w:hint="eastAsia"/>
          <w:szCs w:val="24"/>
          <w:lang w:val="en-US"/>
        </w:rPr>
        <w:t xml:space="preserve">Since </w:t>
      </w:r>
      <w:r>
        <w:rPr>
          <w:rFonts w:eastAsiaTheme="minorEastAsia"/>
          <w:color w:val="000000" w:themeColor="text1"/>
          <w:lang w:val="en-US"/>
        </w:rPr>
        <w:t xml:space="preserve">there was no inter-band CA for FR2 when LS R4-1811534 </w:t>
      </w:r>
      <w:r w:rsidR="003A1A3D">
        <w:rPr>
          <w:rFonts w:eastAsiaTheme="minorEastAsia"/>
          <w:color w:val="000000" w:themeColor="text1"/>
          <w:lang w:val="en-US"/>
        </w:rPr>
        <w:t xml:space="preserve">[2] </w:t>
      </w:r>
      <w:r>
        <w:rPr>
          <w:rFonts w:eastAsiaTheme="minorEastAsia"/>
          <w:color w:val="000000" w:themeColor="text1"/>
          <w:lang w:val="en-US"/>
        </w:rPr>
        <w:t xml:space="preserve">was agreed in Rel-15, </w:t>
      </w:r>
      <w:r w:rsidR="004B18FE">
        <w:rPr>
          <w:rFonts w:eastAsiaTheme="minorEastAsia"/>
          <w:color w:val="000000" w:themeColor="text1"/>
          <w:lang w:val="en-US"/>
        </w:rPr>
        <w:t>it</w:t>
      </w:r>
      <w:r>
        <w:rPr>
          <w:rFonts w:eastAsiaTheme="minorEastAsia"/>
          <w:color w:val="000000" w:themeColor="text1"/>
          <w:lang w:val="en-US"/>
        </w:rPr>
        <w:t xml:space="preserve"> is reasonable to assume the agreed SRS switching time values are not applicable to inter-band CA for FR2. </w:t>
      </w:r>
    </w:p>
    <w:p w:rsidR="003A1A3D" w:rsidRDefault="007A1FED" w:rsidP="007A1FED">
      <w:pPr>
        <w:spacing w:after="120"/>
        <w:rPr>
          <w:rFonts w:eastAsiaTheme="minorEastAsia"/>
          <w:szCs w:val="24"/>
          <w:lang w:val="en-US"/>
        </w:rPr>
      </w:pPr>
      <w:r>
        <w:rPr>
          <w:rFonts w:eastAsiaTheme="minorEastAsia" w:hint="eastAsia"/>
          <w:szCs w:val="24"/>
          <w:lang w:val="en-US"/>
        </w:rPr>
        <w:t xml:space="preserve">The technical concern is that </w:t>
      </w:r>
      <w:r>
        <w:rPr>
          <w:rFonts w:eastAsiaTheme="minorEastAsia"/>
          <w:szCs w:val="24"/>
          <w:lang w:val="en-US"/>
        </w:rPr>
        <w:t>the SRS carrier switching time is too long for FR2. For example, the interruptions are 10 slots for 120</w:t>
      </w:r>
      <w:r w:rsidR="004B18FE">
        <w:rPr>
          <w:rFonts w:eastAsiaTheme="minorEastAsia"/>
          <w:szCs w:val="24"/>
          <w:lang w:val="en-US"/>
        </w:rPr>
        <w:t xml:space="preserve"> </w:t>
      </w:r>
      <w:r>
        <w:rPr>
          <w:rFonts w:eastAsiaTheme="minorEastAsia"/>
          <w:szCs w:val="24"/>
          <w:lang w:val="en-US"/>
        </w:rPr>
        <w:t xml:space="preserve">kHz SCS when SRS switching time is 900us. This will highly limit the use case of SRS carrier switching. </w:t>
      </w:r>
      <w:r w:rsidR="003A1A3D">
        <w:rPr>
          <w:rFonts w:eastAsiaTheme="minorEastAsia"/>
          <w:szCs w:val="24"/>
          <w:lang w:val="en-US"/>
        </w:rPr>
        <w:t xml:space="preserve">In [3] it was proposed the maximum SRS carrier switching time in FR2 in 100us. </w:t>
      </w:r>
    </w:p>
    <w:p w:rsidR="007A1FED" w:rsidRDefault="007A1FED" w:rsidP="007A1FED">
      <w:pPr>
        <w:spacing w:after="120"/>
        <w:rPr>
          <w:rFonts w:eastAsiaTheme="minorEastAsia"/>
          <w:szCs w:val="24"/>
          <w:lang w:val="en-US"/>
        </w:rPr>
      </w:pPr>
      <w:r>
        <w:rPr>
          <w:rFonts w:eastAsiaTheme="minorEastAsia"/>
          <w:szCs w:val="24"/>
          <w:lang w:val="en-US"/>
        </w:rPr>
        <w:t xml:space="preserve">For intra-band CA in FR2, the applicable SRS carrier switching time is 200us at maximum </w:t>
      </w:r>
      <w:r w:rsidR="003A1A3D">
        <w:rPr>
          <w:rFonts w:eastAsiaTheme="minorEastAsia"/>
          <w:szCs w:val="24"/>
          <w:lang w:val="en-US"/>
        </w:rPr>
        <w:t xml:space="preserve">according to [2] </w:t>
      </w:r>
      <w:r>
        <w:rPr>
          <w:rFonts w:eastAsiaTheme="minorEastAsia"/>
          <w:szCs w:val="24"/>
          <w:lang w:val="en-US"/>
        </w:rPr>
        <w:t>and interruptions will be 4 slots for 120kHz SCS</w:t>
      </w:r>
      <w:r w:rsidR="003A1A3D">
        <w:rPr>
          <w:rFonts w:eastAsiaTheme="minorEastAsia"/>
          <w:szCs w:val="24"/>
          <w:lang w:val="en-US"/>
        </w:rPr>
        <w:t xml:space="preserve"> correspondingly</w:t>
      </w:r>
      <w:r>
        <w:rPr>
          <w:rFonts w:eastAsiaTheme="minorEastAsia"/>
          <w:szCs w:val="24"/>
          <w:lang w:val="en-US"/>
        </w:rPr>
        <w:t>, which is reasonable value.</w:t>
      </w:r>
    </w:p>
    <w:p w:rsidR="007A1FED" w:rsidRDefault="007A1FED" w:rsidP="007A1FED">
      <w:pPr>
        <w:spacing w:after="120"/>
        <w:rPr>
          <w:rFonts w:eastAsiaTheme="minorEastAsia"/>
          <w:szCs w:val="24"/>
          <w:lang w:val="en-US"/>
        </w:rPr>
      </w:pPr>
      <w:r>
        <w:rPr>
          <w:rFonts w:eastAsiaTheme="minorEastAsia"/>
          <w:szCs w:val="24"/>
          <w:lang w:val="en-US"/>
        </w:rPr>
        <w:t>Our proposal is not to define interruption requirements for FR2 inter-band CA unless there are new agreements on SRS carrier switching time for inter-band CA for FR2 to be reached in RF session.</w:t>
      </w:r>
    </w:p>
    <w:p w:rsidR="00BD6C96" w:rsidRDefault="00BD6C96" w:rsidP="00BD6C96">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Interruption requirements are not specified for inter-band CA in FR2 in Rel-16 unless there is further agreements in RF room.</w:t>
      </w:r>
    </w:p>
    <w:p w:rsidR="00BD6C96" w:rsidRPr="00BD6C96" w:rsidRDefault="00BD6C96" w:rsidP="007A1FED">
      <w:pPr>
        <w:spacing w:after="120"/>
        <w:rPr>
          <w:rFonts w:eastAsiaTheme="minorEastAsia"/>
          <w:szCs w:val="24"/>
        </w:rPr>
      </w:pPr>
    </w:p>
    <w:p w:rsidR="007A1FED" w:rsidRPr="00DA580F" w:rsidRDefault="007A1FED" w:rsidP="007A1FED">
      <w:pPr>
        <w:spacing w:after="120"/>
        <w:rPr>
          <w:rFonts w:eastAsiaTheme="minorEastAsia"/>
          <w:szCs w:val="24"/>
          <w:lang w:val="en-US"/>
        </w:rPr>
      </w:pPr>
    </w:p>
    <w:p w:rsidR="007A1FED" w:rsidRPr="00A031E3" w:rsidRDefault="007A1FED" w:rsidP="00A031E3">
      <w:pPr>
        <w:rPr>
          <w:b/>
          <w:i/>
          <w:u w:val="single"/>
          <w:lang w:val="en-US"/>
        </w:rPr>
      </w:pPr>
      <w:r w:rsidRPr="00A031E3">
        <w:rPr>
          <w:b/>
          <w:i/>
          <w:u w:val="single"/>
          <w:lang w:val="en-US"/>
        </w:rPr>
        <w:t>FFS if applicability</w:t>
      </w:r>
      <w:r w:rsidR="00A031E3">
        <w:rPr>
          <w:b/>
          <w:i/>
          <w:u w:val="single"/>
          <w:lang w:val="en-US"/>
        </w:rPr>
        <w:t xml:space="preserve"> of SRS switching time</w:t>
      </w:r>
      <w:r w:rsidRPr="00A031E3">
        <w:rPr>
          <w:b/>
          <w:i/>
          <w:u w:val="single"/>
          <w:lang w:val="en-US"/>
        </w:rPr>
        <w:t xml:space="preserve"> should be captured in RAN4 spec</w:t>
      </w:r>
    </w:p>
    <w:p w:rsidR="00A031E3" w:rsidRDefault="00A031E3" w:rsidP="007A1FED">
      <w:pPr>
        <w:spacing w:after="120"/>
        <w:rPr>
          <w:rFonts w:eastAsiaTheme="minorEastAsia"/>
          <w:szCs w:val="24"/>
          <w:lang w:val="en-US"/>
        </w:rPr>
      </w:pPr>
      <w:r>
        <w:rPr>
          <w:rFonts w:eastAsiaTheme="minorEastAsia"/>
          <w:szCs w:val="24"/>
          <w:lang w:val="en-US"/>
        </w:rPr>
        <w:lastRenderedPageBreak/>
        <w:t>It was agreed that t</w:t>
      </w:r>
      <w:r w:rsidR="007A1FED">
        <w:rPr>
          <w:rFonts w:eastAsiaTheme="minorEastAsia" w:hint="eastAsia"/>
          <w:szCs w:val="24"/>
          <w:lang w:val="en-US"/>
        </w:rPr>
        <w:t>he interruption requirements will be specified for 200us, 500us and 900us SRS carrier switching time.</w:t>
      </w:r>
      <w:r>
        <w:rPr>
          <w:rFonts w:eastAsiaTheme="minorEastAsia"/>
          <w:szCs w:val="24"/>
          <w:lang w:val="en-US"/>
        </w:rPr>
        <w:t xml:space="preserve"> </w:t>
      </w:r>
      <w:r w:rsidR="007A1FED">
        <w:rPr>
          <w:rFonts w:eastAsiaTheme="minorEastAsia"/>
          <w:szCs w:val="24"/>
          <w:lang w:val="en-US"/>
        </w:rPr>
        <w:t>The requirements applies depending on the UE capability</w:t>
      </w:r>
      <w:r>
        <w:rPr>
          <w:rFonts w:eastAsiaTheme="minorEastAsia"/>
          <w:szCs w:val="24"/>
          <w:lang w:val="en-US"/>
        </w:rPr>
        <w:t xml:space="preserve"> of </w:t>
      </w:r>
      <w:r w:rsidRPr="00A031E3">
        <w:rPr>
          <w:rFonts w:eastAsiaTheme="minorEastAsia"/>
          <w:i/>
          <w:szCs w:val="24"/>
          <w:lang w:val="en-US"/>
        </w:rPr>
        <w:t>SRS-</w:t>
      </w:r>
      <w:proofErr w:type="spellStart"/>
      <w:r w:rsidRPr="00A031E3">
        <w:rPr>
          <w:rFonts w:eastAsiaTheme="minorEastAsia"/>
          <w:i/>
          <w:szCs w:val="24"/>
          <w:lang w:val="en-US"/>
        </w:rPr>
        <w:t>SwitchingTimeNR</w:t>
      </w:r>
      <w:proofErr w:type="spellEnd"/>
      <w:r w:rsidR="007A1FED">
        <w:rPr>
          <w:rFonts w:eastAsiaTheme="minorEastAsia"/>
          <w:szCs w:val="24"/>
          <w:lang w:val="en-US"/>
        </w:rPr>
        <w:t xml:space="preserve"> indicated to network for a certain band pair. For any indicated SRS carrier switching time value no larger than 200us the interruption requirements for 200us SRS carrier switching time will apply, no matter it is intra-band or inter-band , and so on. </w:t>
      </w:r>
      <w:r>
        <w:rPr>
          <w:rFonts w:eastAsiaTheme="minorEastAsia"/>
          <w:szCs w:val="24"/>
          <w:lang w:val="en-US"/>
        </w:rPr>
        <w:t>For example if UE indicates 300us SRS carrier switching time, the interruption requirements specified based on 500us SRS carrier switching time applies. It would be fine to state in the spec that</w:t>
      </w:r>
      <w:r w:rsidR="00BD6C96">
        <w:rPr>
          <w:rFonts w:eastAsiaTheme="minorEastAsia"/>
          <w:szCs w:val="24"/>
          <w:lang w:val="en-US"/>
        </w:rPr>
        <w:t xml:space="preserve"> how interruption requirements apply for the UE indicated SRS carrier switching time.</w:t>
      </w:r>
    </w:p>
    <w:p w:rsidR="00BD6C96" w:rsidRDefault="00BD6C96" w:rsidP="00BD6C96">
      <w:pPr>
        <w:rPr>
          <w:b/>
          <w:i/>
          <w:lang w:val="en-US"/>
        </w:rPr>
      </w:pPr>
      <w:r w:rsidRPr="00D554B6">
        <w:rPr>
          <w:rFonts w:cs="v4.2.0" w:hint="eastAsia"/>
          <w:b/>
          <w:i/>
        </w:rPr>
        <w:t xml:space="preserve">Proposal </w:t>
      </w:r>
      <w:r>
        <w:rPr>
          <w:rFonts w:cs="v4.2.0"/>
          <w:b/>
          <w:i/>
        </w:rPr>
        <w:t>2</w:t>
      </w:r>
      <w:r w:rsidRPr="00D554B6">
        <w:rPr>
          <w:rFonts w:cs="v4.2.0" w:hint="eastAsia"/>
          <w:b/>
          <w:i/>
        </w:rPr>
        <w:t xml:space="preserve">. </w:t>
      </w:r>
      <w:r>
        <w:rPr>
          <w:b/>
          <w:i/>
          <w:lang w:val="en-US"/>
        </w:rPr>
        <w:t xml:space="preserve">The applicability rule of interruption requirements is </w:t>
      </w:r>
    </w:p>
    <w:p w:rsidR="00BD6C96" w:rsidRPr="00BD6C96" w:rsidRDefault="00BD6C96" w:rsidP="00BD6C96">
      <w:pPr>
        <w:pStyle w:val="a9"/>
        <w:numPr>
          <w:ilvl w:val="0"/>
          <w:numId w:val="24"/>
        </w:numPr>
        <w:ind w:firstLineChars="0"/>
        <w:rPr>
          <w:b/>
          <w:i/>
          <w:lang w:val="en-US"/>
        </w:rPr>
      </w:pPr>
      <w:r w:rsidRPr="00BD6C96">
        <w:rPr>
          <w:b/>
          <w:i/>
          <w:lang w:val="en-US"/>
        </w:rPr>
        <w:t>Interruption requirements based on 200us SRS carrier switching time apply to SRS carrier switching time no longer than 200us</w:t>
      </w:r>
    </w:p>
    <w:p w:rsidR="00BD6C96" w:rsidRDefault="00BD6C96" w:rsidP="00BD6C96">
      <w:pPr>
        <w:pStyle w:val="a9"/>
        <w:numPr>
          <w:ilvl w:val="0"/>
          <w:numId w:val="24"/>
        </w:numPr>
        <w:ind w:firstLineChars="0"/>
        <w:rPr>
          <w:b/>
          <w:i/>
          <w:lang w:val="en-US"/>
        </w:rPr>
      </w:pPr>
      <w:r w:rsidRPr="00BD6C96">
        <w:rPr>
          <w:b/>
          <w:i/>
          <w:lang w:val="en-US"/>
        </w:rPr>
        <w:t>Interruption requirements based on 500us SRS carrier switching time apply to 300us and 500us SRS carrier switching time</w:t>
      </w:r>
    </w:p>
    <w:p w:rsidR="00BD6C96" w:rsidRDefault="00BD6C96" w:rsidP="00BD6C96">
      <w:pPr>
        <w:pStyle w:val="a9"/>
        <w:numPr>
          <w:ilvl w:val="0"/>
          <w:numId w:val="24"/>
        </w:numPr>
        <w:ind w:firstLineChars="0"/>
        <w:rPr>
          <w:b/>
          <w:i/>
          <w:lang w:val="en-US"/>
        </w:rPr>
      </w:pPr>
      <w:r w:rsidRPr="00BD6C96">
        <w:rPr>
          <w:b/>
          <w:i/>
          <w:lang w:val="en-US"/>
        </w:rPr>
        <w:t xml:space="preserve">Interruption requirements based on </w:t>
      </w:r>
      <w:r>
        <w:rPr>
          <w:b/>
          <w:i/>
          <w:lang w:val="en-US"/>
        </w:rPr>
        <w:t>9</w:t>
      </w:r>
      <w:r w:rsidRPr="00BD6C96">
        <w:rPr>
          <w:b/>
          <w:i/>
          <w:lang w:val="en-US"/>
        </w:rPr>
        <w:t xml:space="preserve">00us SRS carrier switching time apply to </w:t>
      </w:r>
      <w:r>
        <w:rPr>
          <w:b/>
          <w:i/>
          <w:lang w:val="en-US"/>
        </w:rPr>
        <w:t>9</w:t>
      </w:r>
      <w:r w:rsidRPr="00BD6C96">
        <w:rPr>
          <w:b/>
          <w:i/>
          <w:lang w:val="en-US"/>
        </w:rPr>
        <w:t>00us SRS carrier switching time</w:t>
      </w:r>
      <w:r>
        <w:rPr>
          <w:b/>
          <w:i/>
          <w:lang w:val="en-US"/>
        </w:rPr>
        <w:t xml:space="preserve"> only</w:t>
      </w:r>
    </w:p>
    <w:p w:rsidR="00BD6C96" w:rsidRPr="00BD6C96" w:rsidRDefault="00BD6C96" w:rsidP="007A1FED">
      <w:pPr>
        <w:spacing w:after="120"/>
        <w:rPr>
          <w:rFonts w:eastAsiaTheme="minorEastAsia"/>
          <w:szCs w:val="24"/>
        </w:rPr>
      </w:pPr>
    </w:p>
    <w:p w:rsidR="00D8039B" w:rsidRPr="00D8039B" w:rsidRDefault="00D8039B" w:rsidP="00D8039B">
      <w:pPr>
        <w:rPr>
          <w:b/>
          <w:i/>
          <w:u w:val="single"/>
          <w:lang w:val="en-US"/>
        </w:rPr>
      </w:pPr>
      <w:r w:rsidRPr="00D8039B">
        <w:rPr>
          <w:b/>
          <w:i/>
          <w:u w:val="single"/>
          <w:lang w:val="en-US"/>
        </w:rPr>
        <w:t>FFS whether to define the requirements for sync case in CA</w:t>
      </w:r>
    </w:p>
    <w:p w:rsidR="007A1FED" w:rsidRPr="00D8039B" w:rsidRDefault="006E2CF8" w:rsidP="007A1FED">
      <w:pPr>
        <w:spacing w:after="120"/>
        <w:rPr>
          <w:rFonts w:eastAsiaTheme="minorEastAsia"/>
          <w:szCs w:val="24"/>
          <w:lang w:val="en-US"/>
        </w:rPr>
      </w:pPr>
      <w:r>
        <w:rPr>
          <w:rFonts w:eastAsiaTheme="minorEastAsia"/>
          <w:szCs w:val="24"/>
          <w:lang w:val="en-US"/>
        </w:rPr>
        <w:t xml:space="preserve">In general if single TA is used in CA it is totally sync case. </w:t>
      </w:r>
      <w:r w:rsidR="0007642E">
        <w:rPr>
          <w:rFonts w:eastAsiaTheme="minorEastAsia"/>
          <w:szCs w:val="24"/>
          <w:lang w:val="en-US"/>
        </w:rPr>
        <w:t>Even so t</w:t>
      </w:r>
      <w:r>
        <w:rPr>
          <w:rFonts w:eastAsiaTheme="minorEastAsia"/>
          <w:szCs w:val="24"/>
          <w:lang w:val="en-US"/>
        </w:rPr>
        <w:t xml:space="preserve">he interruptions could be </w:t>
      </w:r>
      <w:r w:rsidR="0007642E">
        <w:rPr>
          <w:rFonts w:eastAsiaTheme="minorEastAsia"/>
          <w:szCs w:val="24"/>
          <w:lang w:val="en-US"/>
        </w:rPr>
        <w:t>the same as</w:t>
      </w:r>
      <w:r>
        <w:rPr>
          <w:rFonts w:eastAsiaTheme="minorEastAsia"/>
          <w:szCs w:val="24"/>
          <w:lang w:val="en-US"/>
        </w:rPr>
        <w:t xml:space="preserve"> </w:t>
      </w:r>
      <w:proofErr w:type="spellStart"/>
      <w:r>
        <w:rPr>
          <w:rFonts w:eastAsiaTheme="minorEastAsia"/>
          <w:szCs w:val="24"/>
          <w:lang w:val="en-US"/>
        </w:rPr>
        <w:t>async</w:t>
      </w:r>
      <w:proofErr w:type="spellEnd"/>
      <w:r>
        <w:rPr>
          <w:rFonts w:eastAsiaTheme="minorEastAsia"/>
          <w:szCs w:val="24"/>
          <w:lang w:val="en-US"/>
        </w:rPr>
        <w:t xml:space="preserve"> case</w:t>
      </w:r>
      <w:r w:rsidR="0007642E">
        <w:rPr>
          <w:rFonts w:eastAsiaTheme="minorEastAsia"/>
          <w:szCs w:val="24"/>
          <w:lang w:val="en-US"/>
        </w:rPr>
        <w:t xml:space="preserve"> due to TA will cause interruptions in slot before the slot that SRS carrier switching is supposed to start</w:t>
      </w:r>
      <w:r>
        <w:rPr>
          <w:rFonts w:eastAsiaTheme="minorEastAsia"/>
          <w:szCs w:val="24"/>
          <w:lang w:val="en-US"/>
        </w:rPr>
        <w:t>.</w:t>
      </w:r>
      <w:r w:rsidR="006132BB">
        <w:rPr>
          <w:rFonts w:eastAsiaTheme="minorEastAsia"/>
          <w:szCs w:val="24"/>
          <w:lang w:val="en-US"/>
        </w:rPr>
        <w:t xml:space="preserve"> </w:t>
      </w:r>
      <w:r w:rsidR="0007642E">
        <w:rPr>
          <w:rFonts w:eastAsiaTheme="minorEastAsia"/>
          <w:szCs w:val="24"/>
          <w:lang w:val="en-US"/>
        </w:rPr>
        <w:t>I</w:t>
      </w:r>
      <w:r>
        <w:rPr>
          <w:rFonts w:eastAsiaTheme="minorEastAsia"/>
          <w:szCs w:val="24"/>
          <w:lang w:val="en-US"/>
        </w:rPr>
        <w:t>f multiple TA is used in CA then interruption would be</w:t>
      </w:r>
      <w:r w:rsidR="0007642E">
        <w:rPr>
          <w:rFonts w:eastAsiaTheme="minorEastAsia"/>
          <w:szCs w:val="24"/>
          <w:lang w:val="en-US"/>
        </w:rPr>
        <w:t xml:space="preserve"> totally</w:t>
      </w:r>
      <w:r>
        <w:rPr>
          <w:rFonts w:eastAsiaTheme="minorEastAsia"/>
          <w:szCs w:val="24"/>
          <w:lang w:val="en-US"/>
        </w:rPr>
        <w:t xml:space="preserve"> the same as </w:t>
      </w:r>
      <w:proofErr w:type="spellStart"/>
      <w:r>
        <w:rPr>
          <w:rFonts w:eastAsiaTheme="minorEastAsia"/>
          <w:szCs w:val="24"/>
          <w:lang w:val="en-US"/>
        </w:rPr>
        <w:t>async</w:t>
      </w:r>
      <w:proofErr w:type="spellEnd"/>
      <w:r>
        <w:rPr>
          <w:rFonts w:eastAsiaTheme="minorEastAsia"/>
          <w:szCs w:val="24"/>
          <w:lang w:val="en-US"/>
        </w:rPr>
        <w:t xml:space="preserve"> case due to different TA would be appl</w:t>
      </w:r>
      <w:r w:rsidR="006132BB">
        <w:rPr>
          <w:rFonts w:eastAsiaTheme="minorEastAsia"/>
          <w:szCs w:val="24"/>
          <w:lang w:val="en-US"/>
        </w:rPr>
        <w:t>ied</w:t>
      </w:r>
      <w:r>
        <w:rPr>
          <w:rFonts w:eastAsiaTheme="minorEastAsia"/>
          <w:szCs w:val="24"/>
          <w:lang w:val="en-US"/>
        </w:rPr>
        <w:t xml:space="preserve"> on different CCs. To simplify the requirements it is suggested that interruption requirements are specified for </w:t>
      </w:r>
      <w:proofErr w:type="spellStart"/>
      <w:r>
        <w:rPr>
          <w:rFonts w:eastAsiaTheme="minorEastAsia"/>
          <w:szCs w:val="24"/>
          <w:lang w:val="en-US"/>
        </w:rPr>
        <w:t>async</w:t>
      </w:r>
      <w:proofErr w:type="spellEnd"/>
      <w:r>
        <w:rPr>
          <w:rFonts w:eastAsiaTheme="minorEastAsia"/>
          <w:szCs w:val="24"/>
          <w:lang w:val="en-US"/>
        </w:rPr>
        <w:t xml:space="preserve"> case only as it was agreed in the RAN4#93 meeting. </w:t>
      </w:r>
    </w:p>
    <w:p w:rsidR="00002763" w:rsidRDefault="00002763" w:rsidP="00002763">
      <w:pPr>
        <w:rPr>
          <w:b/>
          <w:i/>
          <w:lang w:val="en-US"/>
        </w:rPr>
      </w:pPr>
      <w:r w:rsidRPr="00D554B6">
        <w:rPr>
          <w:rFonts w:cs="v4.2.0" w:hint="eastAsia"/>
          <w:b/>
          <w:i/>
        </w:rPr>
        <w:t xml:space="preserve">Proposal </w:t>
      </w:r>
      <w:r>
        <w:rPr>
          <w:rFonts w:cs="v4.2.0"/>
          <w:b/>
          <w:i/>
        </w:rPr>
        <w:t>3</w:t>
      </w:r>
      <w:r w:rsidRPr="00D554B6">
        <w:rPr>
          <w:rFonts w:cs="v4.2.0" w:hint="eastAsia"/>
          <w:b/>
          <w:i/>
        </w:rPr>
        <w:t xml:space="preserve">. </w:t>
      </w:r>
      <w:r>
        <w:rPr>
          <w:b/>
          <w:i/>
          <w:lang w:val="en-US"/>
        </w:rPr>
        <w:t xml:space="preserve">Not to define interruption requirements for sync case in CA. </w:t>
      </w:r>
    </w:p>
    <w:p w:rsidR="007A1FED" w:rsidRPr="00002763" w:rsidRDefault="007A1FED" w:rsidP="00D8039B">
      <w:pPr>
        <w:spacing w:after="120"/>
        <w:rPr>
          <w:rFonts w:eastAsiaTheme="minorEastAsia"/>
          <w:szCs w:val="24"/>
          <w:lang w:val="en-US"/>
        </w:rPr>
      </w:pPr>
    </w:p>
    <w:p w:rsidR="00927FD0" w:rsidRPr="00927FD0" w:rsidRDefault="00927FD0" w:rsidP="00927FD0">
      <w:pPr>
        <w:rPr>
          <w:b/>
          <w:i/>
          <w:u w:val="single"/>
          <w:lang w:val="en-US"/>
        </w:rPr>
      </w:pPr>
      <w:r w:rsidRPr="00927FD0">
        <w:rPr>
          <w:b/>
          <w:i/>
          <w:u w:val="single"/>
          <w:lang w:val="en-US"/>
        </w:rPr>
        <w:t>Interruptions due to SRS carrier switching in different frequency range</w:t>
      </w:r>
    </w:p>
    <w:p w:rsidR="007A1FED" w:rsidRDefault="00C11C0F" w:rsidP="006132BB">
      <w:pPr>
        <w:spacing w:after="120"/>
        <w:rPr>
          <w:rFonts w:eastAsiaTheme="minorEastAsia"/>
          <w:szCs w:val="24"/>
          <w:lang w:val="en-US"/>
        </w:rPr>
      </w:pPr>
      <w:r w:rsidRPr="006132BB">
        <w:rPr>
          <w:rFonts w:eastAsiaTheme="minorEastAsia" w:hint="eastAsia"/>
          <w:szCs w:val="24"/>
          <w:lang w:val="en-US"/>
        </w:rPr>
        <w:t>It was proposed to link interruptions due to SRS carrier switching in different frequency range to per-FR gap UE capability</w:t>
      </w:r>
      <w:r w:rsidR="006132BB" w:rsidRPr="006132BB">
        <w:rPr>
          <w:rFonts w:eastAsiaTheme="minorEastAsia"/>
          <w:szCs w:val="24"/>
          <w:lang w:val="en-US"/>
        </w:rPr>
        <w:t>.</w:t>
      </w:r>
      <w:r w:rsidR="00956669">
        <w:rPr>
          <w:rFonts w:eastAsiaTheme="minorEastAsia"/>
          <w:szCs w:val="24"/>
          <w:lang w:val="en-US"/>
        </w:rPr>
        <w:t xml:space="preserve"> If we look at the interruption requirements</w:t>
      </w:r>
      <w:r w:rsidR="00943811">
        <w:rPr>
          <w:rFonts w:eastAsiaTheme="minorEastAsia"/>
          <w:szCs w:val="24"/>
          <w:lang w:val="en-US"/>
        </w:rPr>
        <w:t xml:space="preserve"> in clause 8.2.2 for NR SA different interruption requirements were specified for interruptions due to actions in different frequency range.</w:t>
      </w:r>
    </w:p>
    <w:p w:rsidR="00943811" w:rsidRDefault="00943811" w:rsidP="006132BB">
      <w:pPr>
        <w:spacing w:after="120"/>
        <w:rPr>
          <w:rFonts w:eastAsiaTheme="minorEastAsia"/>
          <w:szCs w:val="24"/>
          <w:lang w:val="en-US"/>
        </w:rPr>
      </w:pPr>
      <w:r>
        <w:rPr>
          <w:rFonts w:eastAsiaTheme="minorEastAsia"/>
          <w:szCs w:val="24"/>
          <w:lang w:val="en-US"/>
        </w:rPr>
        <w:t xml:space="preserve">Interruptions are allowed for </w:t>
      </w:r>
      <w:proofErr w:type="spellStart"/>
      <w:r>
        <w:rPr>
          <w:rFonts w:eastAsiaTheme="minorEastAsia"/>
          <w:szCs w:val="24"/>
          <w:lang w:val="en-US"/>
        </w:rPr>
        <w:t>SCell</w:t>
      </w:r>
      <w:proofErr w:type="spellEnd"/>
      <w:r>
        <w:rPr>
          <w:rFonts w:eastAsiaTheme="minorEastAsia"/>
          <w:szCs w:val="24"/>
          <w:lang w:val="en-US"/>
        </w:rPr>
        <w:t xml:space="preserve"> addition/ </w:t>
      </w:r>
      <w:proofErr w:type="spellStart"/>
      <w:r>
        <w:rPr>
          <w:rFonts w:eastAsiaTheme="minorEastAsia"/>
          <w:szCs w:val="24"/>
          <w:lang w:val="en-US"/>
        </w:rPr>
        <w:t>Scell</w:t>
      </w:r>
      <w:proofErr w:type="spellEnd"/>
      <w:r>
        <w:rPr>
          <w:rFonts w:eastAsiaTheme="minorEastAsia"/>
          <w:szCs w:val="24"/>
          <w:lang w:val="en-US"/>
        </w:rPr>
        <w:t xml:space="preserve"> activation / measurements on deactivated SCC in different frequency range. However interruptions are not allowed for active BWP switching / SFTD measurement. In general interruptions are not allowed due to actions on different frequency range for features introduced later. For SRS carrier switching it would be reasonable not to allow interruptions on serving cell in different frequency range.</w:t>
      </w:r>
    </w:p>
    <w:p w:rsidR="00943811" w:rsidRDefault="00943811" w:rsidP="00943811">
      <w:pPr>
        <w:rPr>
          <w:b/>
          <w:i/>
          <w:lang w:val="en-US"/>
        </w:rPr>
      </w:pPr>
      <w:r w:rsidRPr="00D554B6">
        <w:rPr>
          <w:rFonts w:cs="v4.2.0" w:hint="eastAsia"/>
          <w:b/>
          <w:i/>
        </w:rPr>
        <w:t xml:space="preserve">Proposal </w:t>
      </w:r>
      <w:r w:rsidR="00162E3B">
        <w:rPr>
          <w:rFonts w:cs="v4.2.0"/>
          <w:b/>
          <w:i/>
        </w:rPr>
        <w:t>4</w:t>
      </w:r>
      <w:r w:rsidRPr="00D554B6">
        <w:rPr>
          <w:rFonts w:cs="v4.2.0" w:hint="eastAsia"/>
          <w:b/>
          <w:i/>
        </w:rPr>
        <w:t xml:space="preserve">. </w:t>
      </w:r>
      <w:r w:rsidR="0089279D">
        <w:rPr>
          <w:rFonts w:cs="v4.2.0"/>
          <w:b/>
          <w:i/>
        </w:rPr>
        <w:t xml:space="preserve">For UE supporting per-FR gap, </w:t>
      </w:r>
      <w:r w:rsidR="0089279D">
        <w:rPr>
          <w:b/>
          <w:i/>
          <w:lang w:val="en-US"/>
        </w:rPr>
        <w:t>interruptions</w:t>
      </w:r>
      <w:r w:rsidR="00162E3B">
        <w:rPr>
          <w:b/>
          <w:i/>
          <w:lang w:val="en-US"/>
        </w:rPr>
        <w:t xml:space="preserve"> are not allowed due to</w:t>
      </w:r>
      <w:r w:rsidR="0089279D">
        <w:rPr>
          <w:b/>
          <w:i/>
          <w:lang w:val="en-US"/>
        </w:rPr>
        <w:t xml:space="preserve"> </w:t>
      </w:r>
      <w:r w:rsidR="00162E3B">
        <w:rPr>
          <w:b/>
          <w:i/>
          <w:lang w:val="en-US"/>
        </w:rPr>
        <w:t>SRS carrier switching in different frequency range</w:t>
      </w:r>
      <w:r>
        <w:rPr>
          <w:b/>
          <w:i/>
          <w:lang w:val="en-US"/>
        </w:rPr>
        <w:t xml:space="preserve">. </w:t>
      </w:r>
    </w:p>
    <w:p w:rsidR="00E2431A" w:rsidRDefault="00E2431A" w:rsidP="00B9640E">
      <w:pPr>
        <w:jc w:val="center"/>
        <w:rPr>
          <w:b/>
          <w:i/>
          <w:lang w:val="en-US"/>
        </w:rPr>
      </w:pPr>
    </w:p>
    <w:p w:rsidR="00B9640E" w:rsidRPr="004764F3" w:rsidRDefault="00B9640E" w:rsidP="00B9640E">
      <w:pPr>
        <w:rPr>
          <w:b/>
          <w:i/>
          <w:u w:val="single"/>
          <w:lang w:val="en-US"/>
        </w:rPr>
      </w:pPr>
      <w:r>
        <w:rPr>
          <w:b/>
          <w:i/>
          <w:u w:val="single"/>
          <w:lang w:val="en-US"/>
        </w:rPr>
        <w:t>I</w:t>
      </w:r>
      <w:r w:rsidRPr="004764F3">
        <w:rPr>
          <w:rFonts w:hint="eastAsia"/>
          <w:b/>
          <w:i/>
          <w:u w:val="single"/>
          <w:lang w:val="en-US"/>
        </w:rPr>
        <w:t>mpact</w:t>
      </w:r>
      <w:r>
        <w:rPr>
          <w:b/>
          <w:i/>
          <w:u w:val="single"/>
          <w:lang w:val="en-US"/>
        </w:rPr>
        <w:t xml:space="preserve"> on </w:t>
      </w:r>
      <w:r w:rsidR="00162E3B">
        <w:rPr>
          <w:b/>
          <w:i/>
          <w:u w:val="single"/>
          <w:lang w:val="en-US"/>
        </w:rPr>
        <w:t>RRM</w:t>
      </w:r>
      <w:r>
        <w:rPr>
          <w:b/>
          <w:i/>
          <w:u w:val="single"/>
          <w:lang w:val="en-US"/>
        </w:rPr>
        <w:t xml:space="preserve"> requirements</w:t>
      </w:r>
    </w:p>
    <w:p w:rsidR="00E2431A" w:rsidRDefault="002E336B" w:rsidP="00B9640E">
      <w:pPr>
        <w:spacing w:afterLines="50" w:after="120"/>
        <w:rPr>
          <w:color w:val="000000"/>
          <w:szCs w:val="22"/>
          <w:lang w:val="en-US"/>
        </w:rPr>
      </w:pPr>
      <w:bookmarkStart w:id="0" w:name="_Hlk505675046"/>
      <w:r>
        <w:rPr>
          <w:color w:val="000000"/>
          <w:szCs w:val="22"/>
          <w:lang w:val="en-US"/>
        </w:rPr>
        <w:t>The preliminary analysis of impact on RRM measurement requirements are as follows</w:t>
      </w:r>
      <w:r w:rsidR="008157A4">
        <w:rPr>
          <w:color w:val="000000"/>
          <w:szCs w:val="22"/>
          <w:lang w:val="en-US"/>
        </w:rPr>
        <w:t>.</w:t>
      </w:r>
    </w:p>
    <w:tbl>
      <w:tblPr>
        <w:tblStyle w:val="af9"/>
        <w:tblW w:w="0" w:type="auto"/>
        <w:tblLook w:val="04A0" w:firstRow="1" w:lastRow="0" w:firstColumn="1" w:lastColumn="0" w:noHBand="0" w:noVBand="1"/>
      </w:tblPr>
      <w:tblGrid>
        <w:gridCol w:w="9629"/>
      </w:tblGrid>
      <w:tr w:rsidR="00E2431A" w:rsidRPr="00E2431A" w:rsidTr="00E2431A">
        <w:tc>
          <w:tcPr>
            <w:tcW w:w="9629" w:type="dxa"/>
          </w:tcPr>
          <w:p w:rsidR="008519D8" w:rsidRPr="00162E3B" w:rsidRDefault="000A447E" w:rsidP="00162E3B">
            <w:pPr>
              <w:numPr>
                <w:ilvl w:val="0"/>
                <w:numId w:val="19"/>
              </w:numPr>
              <w:spacing w:afterLines="50" w:after="120"/>
              <w:ind w:left="381"/>
              <w:rPr>
                <w:i/>
                <w:color w:val="000000"/>
                <w:szCs w:val="22"/>
                <w:lang w:val="en-US"/>
              </w:rPr>
            </w:pPr>
            <w:r w:rsidRPr="00162E3B">
              <w:rPr>
                <w:i/>
                <w:color w:val="000000"/>
                <w:szCs w:val="22"/>
                <w:lang w:val="en-US"/>
              </w:rPr>
              <w:t>No impact to NR measurement requirements relevant to measurements based on SSB/CSI-RS due to NR SRS carrier switching</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NR measurements are always prioritized</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the interruption requirement due to SRS carrier switching does not apply</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Impact of NR SRS carrier switching on requirements based on other NR uplink or downlink signals in RRM specifications is FFS</w:t>
            </w:r>
          </w:p>
          <w:p w:rsidR="008519D8" w:rsidRPr="00162E3B" w:rsidRDefault="000A447E" w:rsidP="00162E3B">
            <w:pPr>
              <w:numPr>
                <w:ilvl w:val="0"/>
                <w:numId w:val="19"/>
              </w:numPr>
              <w:spacing w:afterLines="50" w:after="120"/>
              <w:ind w:left="381"/>
              <w:rPr>
                <w:i/>
                <w:color w:val="000000"/>
                <w:szCs w:val="22"/>
                <w:lang w:val="en-US"/>
              </w:rPr>
            </w:pPr>
            <w:r w:rsidRPr="00162E3B">
              <w:rPr>
                <w:i/>
                <w:color w:val="000000"/>
                <w:szCs w:val="22"/>
                <w:lang w:val="en-US"/>
              </w:rPr>
              <w:t>In EN-DC and NE-DC operation, NR measurement requirements relevant to measurements on SSB/PBCH/CSI-RS may be impacted due to LTE SRS carrier switching</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Option 1: NR measurements are always prioritized</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lastRenderedPageBreak/>
              <w:t>Option 2: NR measurements are allowed to be interrupted by LTE SRS carrier switching.</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Impact of LTE SRS carrier switching on EN-DC or NE-DC requirements based on other NR uplink or downlink signals in RRM specifications is FFS</w:t>
            </w:r>
          </w:p>
          <w:p w:rsidR="008519D8" w:rsidRPr="00162E3B" w:rsidRDefault="000A447E" w:rsidP="00162E3B">
            <w:pPr>
              <w:numPr>
                <w:ilvl w:val="0"/>
                <w:numId w:val="19"/>
              </w:numPr>
              <w:spacing w:afterLines="50" w:after="120"/>
              <w:ind w:left="381"/>
              <w:rPr>
                <w:i/>
                <w:color w:val="000000"/>
                <w:szCs w:val="22"/>
                <w:lang w:val="en-US"/>
              </w:rPr>
            </w:pPr>
            <w:r w:rsidRPr="00162E3B">
              <w:rPr>
                <w:i/>
                <w:color w:val="000000"/>
                <w:szCs w:val="22"/>
                <w:lang w:val="en-US"/>
              </w:rPr>
              <w:t>In EN-DC and NE-DC operation, requirements relevant to E-UTRA measurements may be impacted due to NR SRS carrier switching.</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Option 1: E-UTRA measurements are always prioritized</w:t>
            </w:r>
          </w:p>
          <w:p w:rsidR="008519D8" w:rsidRPr="00162E3B" w:rsidRDefault="000A447E" w:rsidP="00162E3B">
            <w:pPr>
              <w:numPr>
                <w:ilvl w:val="1"/>
                <w:numId w:val="19"/>
              </w:numPr>
              <w:spacing w:afterLines="50" w:after="120"/>
              <w:rPr>
                <w:i/>
                <w:color w:val="000000"/>
                <w:szCs w:val="22"/>
                <w:lang w:val="en-US"/>
              </w:rPr>
            </w:pPr>
            <w:r w:rsidRPr="00162E3B">
              <w:rPr>
                <w:i/>
                <w:color w:val="000000"/>
                <w:szCs w:val="22"/>
                <w:lang w:val="en-US"/>
              </w:rPr>
              <w:t>Option 2: E-UTRA measurements are allowed to be interrupted by NR SRS carrier switching.</w:t>
            </w:r>
          </w:p>
          <w:p w:rsidR="00481164" w:rsidRPr="00E2431A" w:rsidRDefault="000A447E" w:rsidP="00162E3B">
            <w:pPr>
              <w:numPr>
                <w:ilvl w:val="1"/>
                <w:numId w:val="19"/>
              </w:numPr>
              <w:spacing w:afterLines="50" w:after="120"/>
              <w:rPr>
                <w:i/>
                <w:color w:val="000000"/>
                <w:szCs w:val="22"/>
                <w:lang w:val="en-US"/>
              </w:rPr>
            </w:pPr>
            <w:r w:rsidRPr="00162E3B">
              <w:rPr>
                <w:i/>
                <w:color w:val="000000"/>
                <w:szCs w:val="22"/>
                <w:lang w:val="en-US"/>
              </w:rPr>
              <w:t xml:space="preserve">Impact of NR SRS carrier switching on other EN-DC or EN-DC requirements based on E-UTRA uplink or downlink signals in RRM specifications is FFS </w:t>
            </w:r>
          </w:p>
        </w:tc>
      </w:tr>
    </w:tbl>
    <w:p w:rsidR="00E2431A" w:rsidRDefault="00E2431A" w:rsidP="00B9640E">
      <w:pPr>
        <w:spacing w:afterLines="50" w:after="120"/>
        <w:rPr>
          <w:color w:val="000000"/>
          <w:szCs w:val="22"/>
          <w:lang w:val="en-US"/>
        </w:rPr>
      </w:pPr>
    </w:p>
    <w:p w:rsidR="00B9640E" w:rsidRDefault="00B9640E" w:rsidP="00B9640E">
      <w:pPr>
        <w:spacing w:afterLines="50" w:after="120"/>
        <w:rPr>
          <w:color w:val="000000"/>
          <w:szCs w:val="22"/>
          <w:lang w:val="en-US"/>
        </w:rPr>
      </w:pPr>
      <w:r>
        <w:rPr>
          <w:color w:val="000000"/>
          <w:szCs w:val="22"/>
          <w:lang w:val="en-US"/>
        </w:rPr>
        <w:t>In 38.214, the UE sounding procedure between component carriers are as follows.</w:t>
      </w:r>
    </w:p>
    <w:tbl>
      <w:tblPr>
        <w:tblStyle w:val="af9"/>
        <w:tblW w:w="0" w:type="auto"/>
        <w:tblLook w:val="04A0" w:firstRow="1" w:lastRow="0" w:firstColumn="1" w:lastColumn="0" w:noHBand="0" w:noVBand="1"/>
      </w:tblPr>
      <w:tblGrid>
        <w:gridCol w:w="9629"/>
      </w:tblGrid>
      <w:tr w:rsidR="00B9640E" w:rsidTr="00FC2972">
        <w:tc>
          <w:tcPr>
            <w:tcW w:w="9629" w:type="dxa"/>
          </w:tcPr>
          <w:bookmarkEnd w:id="0"/>
          <w:p w:rsidR="00B9640E" w:rsidRDefault="00B9640E" w:rsidP="00FC2972">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tc>
      </w:tr>
    </w:tbl>
    <w:p w:rsidR="00B9640E" w:rsidRDefault="00B9640E" w:rsidP="00B9640E"/>
    <w:p w:rsidR="00BB12CF" w:rsidRDefault="00B9640E" w:rsidP="00BB12CF">
      <w:r>
        <w:rPr>
          <w:rFonts w:hint="eastAsia"/>
        </w:rPr>
        <w:t>According to the procedure</w:t>
      </w:r>
      <w:r>
        <w:t xml:space="preserve">, colliding of NR SRS transmission and SSB/PBCH blocks should not happen. </w:t>
      </w:r>
      <w:r w:rsidR="00BB12CF">
        <w:t xml:space="preserve">We also agreed that </w:t>
      </w:r>
      <w:r w:rsidR="00BB12CF" w:rsidRPr="00BB12CF">
        <w:t>NR measurements are always prioritized</w:t>
      </w:r>
      <w:r w:rsidR="00BB12CF">
        <w:t>. Regarding the im</w:t>
      </w:r>
      <w:r w:rsidR="00BB12CF" w:rsidRPr="00BB12CF">
        <w:t xml:space="preserve">pact of NR SRS carrier switching on requirements based on </w:t>
      </w:r>
      <w:r w:rsidR="00BB12CF" w:rsidRPr="00BB12CF">
        <w:rPr>
          <w:highlight w:val="yellow"/>
        </w:rPr>
        <w:t>other NR uplink or downlink signals</w:t>
      </w:r>
      <w:r w:rsidR="00BB12CF" w:rsidRPr="00BB12CF">
        <w:t xml:space="preserve"> in RRM specifications</w:t>
      </w:r>
      <w:r w:rsidR="00BB12CF">
        <w:t xml:space="preserve"> it would be in RAN1 scope if there was any impact. </w:t>
      </w:r>
    </w:p>
    <w:p w:rsidR="00BB12CF" w:rsidRPr="00BB12CF" w:rsidRDefault="00BB12CF" w:rsidP="00BB12CF">
      <w:r w:rsidRPr="00233982">
        <w:rPr>
          <w:rFonts w:cs="v4.2.0" w:hint="eastAsia"/>
          <w:b/>
          <w:i/>
        </w:rPr>
        <w:t xml:space="preserve">Proposal </w:t>
      </w:r>
      <w:r>
        <w:rPr>
          <w:rFonts w:cs="v4.2.0"/>
          <w:b/>
          <w:i/>
        </w:rPr>
        <w:t>5</w:t>
      </w:r>
      <w:r w:rsidRPr="00233982">
        <w:rPr>
          <w:rFonts w:cs="v4.2.0" w:hint="eastAsia"/>
          <w:b/>
          <w:i/>
        </w:rPr>
        <w:t xml:space="preserve">. </w:t>
      </w:r>
      <w:r>
        <w:rPr>
          <w:b/>
          <w:i/>
          <w:color w:val="000000"/>
          <w:szCs w:val="22"/>
          <w:lang w:val="en-US"/>
        </w:rPr>
        <w:t xml:space="preserve">RAN4 is not supposed to study impact </w:t>
      </w:r>
      <w:r w:rsidR="00CC570E">
        <w:rPr>
          <w:b/>
          <w:i/>
          <w:color w:val="000000"/>
          <w:szCs w:val="22"/>
          <w:lang w:val="en-US"/>
        </w:rPr>
        <w:t xml:space="preserve">due to NR/E-UTRA SRS carrier switching </w:t>
      </w:r>
      <w:r>
        <w:rPr>
          <w:b/>
          <w:i/>
          <w:color w:val="000000"/>
          <w:szCs w:val="22"/>
          <w:lang w:val="en-US"/>
        </w:rPr>
        <w:t>on other NR/E-UTRA UL/DL signals</w:t>
      </w:r>
      <w:r w:rsidR="00CC570E">
        <w:rPr>
          <w:b/>
          <w:i/>
          <w:color w:val="000000"/>
          <w:szCs w:val="22"/>
          <w:lang w:val="en-US"/>
        </w:rPr>
        <w:t>.</w:t>
      </w:r>
    </w:p>
    <w:p w:rsidR="00481164" w:rsidRDefault="00481164" w:rsidP="00B9640E"/>
    <w:p w:rsidR="00CC570E" w:rsidRDefault="00CC570E" w:rsidP="00B9640E">
      <w:r>
        <w:t>I</w:t>
      </w:r>
      <w:r w:rsidR="00B9640E">
        <w:t>n EN-DC and NE-DC operation,</w:t>
      </w:r>
      <w:r w:rsidR="00B9640E">
        <w:rPr>
          <w:rFonts w:hint="eastAsia"/>
        </w:rPr>
        <w:t xml:space="preserve"> the collision </w:t>
      </w:r>
      <w:r w:rsidR="00B9640E">
        <w:t>between</w:t>
      </w:r>
      <w:r w:rsidR="00B9640E">
        <w:rPr>
          <w:rFonts w:hint="eastAsia"/>
        </w:rPr>
        <w:t xml:space="preserve"> </w:t>
      </w:r>
      <w:r w:rsidR="00481164">
        <w:t>LTE</w:t>
      </w:r>
      <w:r w:rsidR="00B9640E">
        <w:t xml:space="preserve"> SRS carrier switching and SSB/PBCH blocks may happen since there is no restriction.</w:t>
      </w:r>
      <w:r w:rsidRPr="00CC570E">
        <w:t xml:space="preserve"> </w:t>
      </w:r>
      <w:r>
        <w:t>Similarly the collision between NR SRS carrier switching and E-UTRA PSS/SSS transmission may happen. It is preferable the RRM measurements are prioritized when collision happens. However there was concern that coordination between LTE and NR may not be possible for some UE. In this case the RRM measurement requirements can be relaxed due to SRS carrier switching in different RATs. It is not necessary to introduce new UE capability of LTE and NR coordination.</w:t>
      </w:r>
    </w:p>
    <w:p w:rsidR="00CC570E" w:rsidRDefault="00CC570E" w:rsidP="00B9640E">
      <w:r>
        <w:t xml:space="preserve">Further there was also proposal that if SRS carrier switching and RRM measurements are in different frequency ranges RRM </w:t>
      </w:r>
      <w:r w:rsidR="0089279D">
        <w:t>measurements are not impacted for per-FR gap capable UE. We think it is worth differentiating this.</w:t>
      </w:r>
    </w:p>
    <w:p w:rsidR="0089279D" w:rsidRDefault="00B211C6" w:rsidP="00B9640E">
      <w:pPr>
        <w:rPr>
          <w:b/>
          <w:i/>
          <w:color w:val="000000"/>
          <w:szCs w:val="22"/>
          <w:lang w:val="en-US"/>
        </w:rPr>
      </w:pPr>
      <w:r w:rsidRPr="00233982">
        <w:rPr>
          <w:rFonts w:cs="v4.2.0" w:hint="eastAsia"/>
          <w:b/>
          <w:i/>
        </w:rPr>
        <w:t xml:space="preserve">Proposal </w:t>
      </w:r>
      <w:r w:rsidR="0089279D">
        <w:rPr>
          <w:rFonts w:cs="v4.2.0"/>
          <w:b/>
          <w:i/>
        </w:rPr>
        <w:t>6</w:t>
      </w:r>
      <w:r w:rsidR="00B9640E" w:rsidRPr="00233982">
        <w:rPr>
          <w:rFonts w:cs="v4.2.0" w:hint="eastAsia"/>
          <w:b/>
          <w:i/>
        </w:rPr>
        <w:t xml:space="preserve">. </w:t>
      </w:r>
      <w:r w:rsidRPr="00B211C6">
        <w:rPr>
          <w:b/>
          <w:i/>
          <w:color w:val="000000"/>
          <w:szCs w:val="22"/>
          <w:lang w:val="en-US"/>
        </w:rPr>
        <w:t xml:space="preserve">In EN-DC and NE-DC operation, </w:t>
      </w:r>
      <w:r w:rsidR="0089279D">
        <w:rPr>
          <w:b/>
          <w:i/>
          <w:color w:val="000000"/>
          <w:szCs w:val="22"/>
          <w:lang w:val="en-US"/>
        </w:rPr>
        <w:t xml:space="preserve">no impact to NR measurement requirements in FR2 due to LTE SRS carrier switching for per-FR gap capable UE. Otherwise </w:t>
      </w:r>
      <w:r w:rsidR="0089279D" w:rsidRPr="0089279D">
        <w:rPr>
          <w:b/>
          <w:i/>
          <w:color w:val="000000"/>
          <w:szCs w:val="22"/>
          <w:lang w:val="en-US"/>
        </w:rPr>
        <w:t>NR measurements are allowed to be interrupted by LTE SRS carrier switching</w:t>
      </w:r>
    </w:p>
    <w:p w:rsidR="0089279D" w:rsidRDefault="0089279D" w:rsidP="0089279D">
      <w:pPr>
        <w:rPr>
          <w:b/>
          <w:i/>
          <w:color w:val="000000"/>
          <w:szCs w:val="22"/>
          <w:lang w:val="en-US"/>
        </w:rPr>
      </w:pPr>
      <w:r w:rsidRPr="00233982">
        <w:rPr>
          <w:rFonts w:cs="v4.2.0" w:hint="eastAsia"/>
          <w:b/>
          <w:i/>
        </w:rPr>
        <w:t xml:space="preserve">Proposal </w:t>
      </w:r>
      <w:r>
        <w:rPr>
          <w:rFonts w:cs="v4.2.0"/>
          <w:b/>
          <w:i/>
        </w:rPr>
        <w:t>7</w:t>
      </w:r>
      <w:r w:rsidRPr="00233982">
        <w:rPr>
          <w:rFonts w:cs="v4.2.0" w:hint="eastAsia"/>
          <w:b/>
          <w:i/>
        </w:rPr>
        <w:t xml:space="preserve">. </w:t>
      </w:r>
      <w:r w:rsidRPr="00B211C6">
        <w:rPr>
          <w:b/>
          <w:i/>
          <w:color w:val="000000"/>
          <w:szCs w:val="22"/>
          <w:lang w:val="en-US"/>
        </w:rPr>
        <w:t xml:space="preserve">In EN-DC and NE-DC operation, </w:t>
      </w:r>
      <w:r>
        <w:rPr>
          <w:b/>
          <w:i/>
          <w:color w:val="000000"/>
          <w:szCs w:val="22"/>
          <w:lang w:val="en-US"/>
        </w:rPr>
        <w:t>no impact to E-UTRA measurement requirements due to NR SRS carrier switching in FR2 for per-FR gap capable UE. Otherwise E-UTRA</w:t>
      </w:r>
      <w:r w:rsidRPr="0089279D">
        <w:rPr>
          <w:b/>
          <w:i/>
          <w:color w:val="000000"/>
          <w:szCs w:val="22"/>
          <w:lang w:val="en-US"/>
        </w:rPr>
        <w:t xml:space="preserve"> measurements are allowed to be interrupted by </w:t>
      </w:r>
      <w:r>
        <w:rPr>
          <w:b/>
          <w:i/>
          <w:color w:val="000000"/>
          <w:szCs w:val="22"/>
          <w:lang w:val="en-US"/>
        </w:rPr>
        <w:t>NR</w:t>
      </w:r>
      <w:r w:rsidRPr="0089279D">
        <w:rPr>
          <w:b/>
          <w:i/>
          <w:color w:val="000000"/>
          <w:szCs w:val="22"/>
          <w:lang w:val="en-US"/>
        </w:rPr>
        <w:t xml:space="preserve"> SRS carrier switching</w:t>
      </w:r>
    </w:p>
    <w:p w:rsidR="0061056F" w:rsidRPr="00B211C6" w:rsidRDefault="0061056F" w:rsidP="00B9640E"/>
    <w:p w:rsidR="00B9640E" w:rsidRDefault="00B9640E" w:rsidP="00B9640E">
      <w:pPr>
        <w:pStyle w:val="2"/>
        <w:ind w:left="0" w:firstLine="0"/>
        <w:jc w:val="both"/>
        <w:rPr>
          <w:sz w:val="24"/>
          <w:szCs w:val="24"/>
          <w:lang w:val="en-US"/>
        </w:rPr>
      </w:pPr>
      <w:r>
        <w:rPr>
          <w:rFonts w:hint="eastAsia"/>
          <w:sz w:val="24"/>
          <w:szCs w:val="24"/>
          <w:lang w:val="en-US"/>
        </w:rPr>
        <w:t>3. Conclusion</w:t>
      </w:r>
    </w:p>
    <w:p w:rsidR="00B9640E" w:rsidRDefault="00B9640E" w:rsidP="00B9640E">
      <w:pPr>
        <w:spacing w:before="240" w:after="120"/>
        <w:jc w:val="both"/>
        <w:rPr>
          <w:lang w:val="en-US"/>
        </w:rPr>
      </w:pPr>
      <w:r>
        <w:rPr>
          <w:rFonts w:hint="eastAsia"/>
          <w:lang w:val="en-US"/>
        </w:rPr>
        <w:t xml:space="preserve">In this contribution, we </w:t>
      </w:r>
      <w:r w:rsidR="007E5A8A">
        <w:rPr>
          <w:lang w:val="en-US"/>
        </w:rPr>
        <w:t xml:space="preserve">further </w:t>
      </w:r>
      <w:r>
        <w:rPr>
          <w:rFonts w:hint="eastAsia"/>
          <w:lang w:val="en-US"/>
        </w:rPr>
        <w:t>provide</w:t>
      </w:r>
      <w:r>
        <w:rPr>
          <w:lang w:val="en-US"/>
        </w:rPr>
        <w:t>d</w:t>
      </w:r>
      <w:r>
        <w:rPr>
          <w:rFonts w:hint="eastAsia"/>
          <w:lang w:val="en-US"/>
        </w:rPr>
        <w:t xml:space="preserve"> our </w:t>
      </w:r>
      <w:r>
        <w:rPr>
          <w:rFonts w:cs="v4.2.0"/>
        </w:rPr>
        <w:t>views o</w:t>
      </w:r>
      <w:r>
        <w:rPr>
          <w:rFonts w:cs="v4.2.0" w:hint="eastAsia"/>
          <w:lang w:val="en-US"/>
        </w:rPr>
        <w:t xml:space="preserve">n </w:t>
      </w:r>
      <w:r w:rsidR="0089279D">
        <w:rPr>
          <w:rFonts w:cs="v4.2.0"/>
          <w:lang w:val="en-US"/>
        </w:rPr>
        <w:t xml:space="preserve">remaining issues on </w:t>
      </w:r>
      <w:r>
        <w:rPr>
          <w:rFonts w:cs="v4.2.0"/>
          <w:lang w:val="en-US"/>
        </w:rPr>
        <w:t>RRM requirements of SRS carrier switching for UE in NR SA, NR-DC, EN-DC or NE-DC operation</w:t>
      </w:r>
      <w:r>
        <w:rPr>
          <w:rFonts w:cs="v4.2.0" w:hint="eastAsia"/>
          <w:lang w:val="en-US"/>
        </w:rPr>
        <w:t>.</w:t>
      </w:r>
      <w:r>
        <w:rPr>
          <w:rFonts w:hint="eastAsia"/>
          <w:lang w:val="en-US"/>
        </w:rPr>
        <w:t xml:space="preserve"> Based on the observations following proposals are present.</w:t>
      </w:r>
      <w:r>
        <w:rPr>
          <w:lang w:val="en-US"/>
        </w:rPr>
        <w:t xml:space="preserve"> </w:t>
      </w:r>
    </w:p>
    <w:p w:rsidR="0089279D" w:rsidRDefault="0089279D" w:rsidP="0089279D">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Interruption requirements are not specified for inter-band CA in FR2 in Rel-16 unless there is further agreements in RF room.</w:t>
      </w:r>
    </w:p>
    <w:p w:rsidR="0089279D" w:rsidRDefault="0089279D" w:rsidP="0089279D">
      <w:pPr>
        <w:rPr>
          <w:b/>
          <w:i/>
          <w:lang w:val="en-US"/>
        </w:rPr>
      </w:pPr>
      <w:r w:rsidRPr="00D554B6">
        <w:rPr>
          <w:rFonts w:cs="v4.2.0" w:hint="eastAsia"/>
          <w:b/>
          <w:i/>
        </w:rPr>
        <w:lastRenderedPageBreak/>
        <w:t xml:space="preserve">Proposal </w:t>
      </w:r>
      <w:r>
        <w:rPr>
          <w:rFonts w:cs="v4.2.0"/>
          <w:b/>
          <w:i/>
        </w:rPr>
        <w:t>2</w:t>
      </w:r>
      <w:r w:rsidRPr="00D554B6">
        <w:rPr>
          <w:rFonts w:cs="v4.2.0" w:hint="eastAsia"/>
          <w:b/>
          <w:i/>
        </w:rPr>
        <w:t xml:space="preserve">. </w:t>
      </w:r>
      <w:r>
        <w:rPr>
          <w:b/>
          <w:i/>
          <w:lang w:val="en-US"/>
        </w:rPr>
        <w:t xml:space="preserve">The applicability rule of interruption requirements is </w:t>
      </w:r>
    </w:p>
    <w:p w:rsidR="0089279D" w:rsidRPr="00BD6C96" w:rsidRDefault="0089279D" w:rsidP="0089279D">
      <w:pPr>
        <w:pStyle w:val="a9"/>
        <w:numPr>
          <w:ilvl w:val="0"/>
          <w:numId w:val="24"/>
        </w:numPr>
        <w:ind w:firstLineChars="0"/>
        <w:rPr>
          <w:b/>
          <w:i/>
          <w:lang w:val="en-US"/>
        </w:rPr>
      </w:pPr>
      <w:r w:rsidRPr="00BD6C96">
        <w:rPr>
          <w:b/>
          <w:i/>
          <w:lang w:val="en-US"/>
        </w:rPr>
        <w:t>Interruption requirements based on 200us SRS carrier switching time apply to SRS carrier switching time no longer than 200us</w:t>
      </w:r>
    </w:p>
    <w:p w:rsidR="0089279D" w:rsidRDefault="0089279D" w:rsidP="0089279D">
      <w:pPr>
        <w:pStyle w:val="a9"/>
        <w:numPr>
          <w:ilvl w:val="0"/>
          <w:numId w:val="24"/>
        </w:numPr>
        <w:ind w:firstLineChars="0"/>
        <w:rPr>
          <w:b/>
          <w:i/>
          <w:lang w:val="en-US"/>
        </w:rPr>
      </w:pPr>
      <w:r w:rsidRPr="00BD6C96">
        <w:rPr>
          <w:b/>
          <w:i/>
          <w:lang w:val="en-US"/>
        </w:rPr>
        <w:t>Interruption requirements based on 500us SRS carrier switching time apply to 300us and 500us SRS carrier switching time</w:t>
      </w:r>
    </w:p>
    <w:p w:rsidR="0089279D" w:rsidRDefault="0089279D" w:rsidP="0089279D">
      <w:pPr>
        <w:pStyle w:val="a9"/>
        <w:numPr>
          <w:ilvl w:val="0"/>
          <w:numId w:val="24"/>
        </w:numPr>
        <w:ind w:firstLineChars="0"/>
        <w:rPr>
          <w:b/>
          <w:i/>
          <w:lang w:val="en-US"/>
        </w:rPr>
      </w:pPr>
      <w:r w:rsidRPr="00BD6C96">
        <w:rPr>
          <w:b/>
          <w:i/>
          <w:lang w:val="en-US"/>
        </w:rPr>
        <w:t xml:space="preserve">Interruption requirements based on </w:t>
      </w:r>
      <w:r>
        <w:rPr>
          <w:b/>
          <w:i/>
          <w:lang w:val="en-US"/>
        </w:rPr>
        <w:t>9</w:t>
      </w:r>
      <w:r w:rsidRPr="00BD6C96">
        <w:rPr>
          <w:b/>
          <w:i/>
          <w:lang w:val="en-US"/>
        </w:rPr>
        <w:t xml:space="preserve">00us SRS carrier switching time apply to </w:t>
      </w:r>
      <w:r>
        <w:rPr>
          <w:b/>
          <w:i/>
          <w:lang w:val="en-US"/>
        </w:rPr>
        <w:t>9</w:t>
      </w:r>
      <w:r w:rsidRPr="00BD6C96">
        <w:rPr>
          <w:b/>
          <w:i/>
          <w:lang w:val="en-US"/>
        </w:rPr>
        <w:t>00us SRS carrier switching time</w:t>
      </w:r>
      <w:r>
        <w:rPr>
          <w:b/>
          <w:i/>
          <w:lang w:val="en-US"/>
        </w:rPr>
        <w:t xml:space="preserve"> only</w:t>
      </w:r>
    </w:p>
    <w:p w:rsidR="0089279D" w:rsidRDefault="0089279D" w:rsidP="0089279D">
      <w:pPr>
        <w:rPr>
          <w:b/>
          <w:i/>
          <w:lang w:val="en-US"/>
        </w:rPr>
      </w:pPr>
      <w:r w:rsidRPr="00D554B6">
        <w:rPr>
          <w:rFonts w:cs="v4.2.0" w:hint="eastAsia"/>
          <w:b/>
          <w:i/>
        </w:rPr>
        <w:t xml:space="preserve">Proposal </w:t>
      </w:r>
      <w:r>
        <w:rPr>
          <w:rFonts w:cs="v4.2.0"/>
          <w:b/>
          <w:i/>
        </w:rPr>
        <w:t>3</w:t>
      </w:r>
      <w:r w:rsidRPr="00D554B6">
        <w:rPr>
          <w:rFonts w:cs="v4.2.0" w:hint="eastAsia"/>
          <w:b/>
          <w:i/>
        </w:rPr>
        <w:t xml:space="preserve">. </w:t>
      </w:r>
      <w:r>
        <w:rPr>
          <w:b/>
          <w:i/>
          <w:lang w:val="en-US"/>
        </w:rPr>
        <w:t xml:space="preserve">Not to define interruption requirements for sync case in CA. </w:t>
      </w:r>
    </w:p>
    <w:p w:rsidR="0089279D" w:rsidRDefault="0089279D" w:rsidP="0089279D">
      <w:pPr>
        <w:rPr>
          <w:b/>
          <w:i/>
          <w:lang w:val="en-US"/>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 xml:space="preserve">For UE supporting per-FR gap, </w:t>
      </w:r>
      <w:r>
        <w:rPr>
          <w:b/>
          <w:i/>
          <w:lang w:val="en-US"/>
        </w:rPr>
        <w:t xml:space="preserve">interruptions are not allowed due to SRS carrier switching in different frequency range. </w:t>
      </w:r>
    </w:p>
    <w:p w:rsidR="003A1A3D" w:rsidRPr="00BB12CF" w:rsidRDefault="003A1A3D" w:rsidP="003A1A3D">
      <w:r w:rsidRPr="00233982">
        <w:rPr>
          <w:rFonts w:cs="v4.2.0" w:hint="eastAsia"/>
          <w:b/>
          <w:i/>
        </w:rPr>
        <w:t xml:space="preserve">Proposal </w:t>
      </w:r>
      <w:r>
        <w:rPr>
          <w:rFonts w:cs="v4.2.0"/>
          <w:b/>
          <w:i/>
        </w:rPr>
        <w:t>5</w:t>
      </w:r>
      <w:r w:rsidRPr="00233982">
        <w:rPr>
          <w:rFonts w:cs="v4.2.0" w:hint="eastAsia"/>
          <w:b/>
          <w:i/>
        </w:rPr>
        <w:t xml:space="preserve">. </w:t>
      </w:r>
      <w:r>
        <w:rPr>
          <w:b/>
          <w:i/>
          <w:color w:val="000000"/>
          <w:szCs w:val="22"/>
          <w:lang w:val="en-US"/>
        </w:rPr>
        <w:t>RAN4 is not supposed to study impact due to NR/E-UTRA SRS carrier switching on other NR/E-UTRA UL/DL signals.</w:t>
      </w:r>
    </w:p>
    <w:p w:rsidR="003A1A3D" w:rsidRDefault="003A1A3D" w:rsidP="003A1A3D">
      <w:pPr>
        <w:rPr>
          <w:b/>
          <w:i/>
          <w:color w:val="000000"/>
          <w:szCs w:val="22"/>
          <w:lang w:val="en-US"/>
        </w:rPr>
      </w:pPr>
      <w:r w:rsidRPr="00233982">
        <w:rPr>
          <w:rFonts w:cs="v4.2.0" w:hint="eastAsia"/>
          <w:b/>
          <w:i/>
        </w:rPr>
        <w:t xml:space="preserve">Proposal </w:t>
      </w:r>
      <w:r>
        <w:rPr>
          <w:rFonts w:cs="v4.2.0"/>
          <w:b/>
          <w:i/>
        </w:rPr>
        <w:t>6</w:t>
      </w:r>
      <w:r w:rsidRPr="00233982">
        <w:rPr>
          <w:rFonts w:cs="v4.2.0" w:hint="eastAsia"/>
          <w:b/>
          <w:i/>
        </w:rPr>
        <w:t xml:space="preserve">. </w:t>
      </w:r>
      <w:r w:rsidRPr="00B211C6">
        <w:rPr>
          <w:b/>
          <w:i/>
          <w:color w:val="000000"/>
          <w:szCs w:val="22"/>
          <w:lang w:val="en-US"/>
        </w:rPr>
        <w:t xml:space="preserve">In EN-DC and NE-DC operation, </w:t>
      </w:r>
      <w:r>
        <w:rPr>
          <w:b/>
          <w:i/>
          <w:color w:val="000000"/>
          <w:szCs w:val="22"/>
          <w:lang w:val="en-US"/>
        </w:rPr>
        <w:t xml:space="preserve">no impact to NR measurement requirements in FR2 due to LTE SRS carrier switching for per-FR gap capable UE. Otherwise </w:t>
      </w:r>
      <w:r w:rsidRPr="0089279D">
        <w:rPr>
          <w:b/>
          <w:i/>
          <w:color w:val="000000"/>
          <w:szCs w:val="22"/>
          <w:lang w:val="en-US"/>
        </w:rPr>
        <w:t>NR measurements are allowed to be interrupted by LTE SRS carrier switching</w:t>
      </w:r>
    </w:p>
    <w:p w:rsidR="003A1A3D" w:rsidRDefault="003A1A3D" w:rsidP="003A1A3D">
      <w:pPr>
        <w:rPr>
          <w:b/>
          <w:i/>
          <w:color w:val="000000"/>
          <w:szCs w:val="22"/>
          <w:lang w:val="en-US"/>
        </w:rPr>
      </w:pPr>
      <w:r w:rsidRPr="00233982">
        <w:rPr>
          <w:rFonts w:cs="v4.2.0" w:hint="eastAsia"/>
          <w:b/>
          <w:i/>
        </w:rPr>
        <w:t xml:space="preserve">Proposal </w:t>
      </w:r>
      <w:r>
        <w:rPr>
          <w:rFonts w:cs="v4.2.0"/>
          <w:b/>
          <w:i/>
        </w:rPr>
        <w:t>7</w:t>
      </w:r>
      <w:r w:rsidRPr="00233982">
        <w:rPr>
          <w:rFonts w:cs="v4.2.0" w:hint="eastAsia"/>
          <w:b/>
          <w:i/>
        </w:rPr>
        <w:t xml:space="preserve">. </w:t>
      </w:r>
      <w:r w:rsidRPr="00B211C6">
        <w:rPr>
          <w:b/>
          <w:i/>
          <w:color w:val="000000"/>
          <w:szCs w:val="22"/>
          <w:lang w:val="en-US"/>
        </w:rPr>
        <w:t xml:space="preserve">In EN-DC and NE-DC operation, </w:t>
      </w:r>
      <w:r>
        <w:rPr>
          <w:b/>
          <w:i/>
          <w:color w:val="000000"/>
          <w:szCs w:val="22"/>
          <w:lang w:val="en-US"/>
        </w:rPr>
        <w:t>no impact to E-UTRA measurement requirements due to NR SRS carrier switching in FR2 for per-FR gap capable UE. Otherwise E-UTRA</w:t>
      </w:r>
      <w:r w:rsidRPr="0089279D">
        <w:rPr>
          <w:b/>
          <w:i/>
          <w:color w:val="000000"/>
          <w:szCs w:val="22"/>
          <w:lang w:val="en-US"/>
        </w:rPr>
        <w:t xml:space="preserve"> measurements are allowed to be interrupted by </w:t>
      </w:r>
      <w:r>
        <w:rPr>
          <w:b/>
          <w:i/>
          <w:color w:val="000000"/>
          <w:szCs w:val="22"/>
          <w:lang w:val="en-US"/>
        </w:rPr>
        <w:t>NR</w:t>
      </w:r>
      <w:r w:rsidRPr="0089279D">
        <w:rPr>
          <w:b/>
          <w:i/>
          <w:color w:val="000000"/>
          <w:szCs w:val="22"/>
          <w:lang w:val="en-US"/>
        </w:rPr>
        <w:t xml:space="preserve"> SRS carrier switching</w:t>
      </w:r>
    </w:p>
    <w:p w:rsidR="003754D8" w:rsidRPr="00451D3D" w:rsidRDefault="003754D8" w:rsidP="00A264A4">
      <w:pPr>
        <w:jc w:val="both"/>
      </w:pPr>
    </w:p>
    <w:p w:rsidR="00D807C3" w:rsidRDefault="00D807C3">
      <w:pPr>
        <w:pStyle w:val="2"/>
        <w:jc w:val="both"/>
        <w:rPr>
          <w:sz w:val="24"/>
          <w:szCs w:val="24"/>
          <w:lang w:val="en-US"/>
        </w:rPr>
      </w:pPr>
      <w:bookmarkStart w:id="1" w:name="_GoBack"/>
      <w:bookmarkEnd w:id="1"/>
      <w:r>
        <w:rPr>
          <w:rFonts w:hint="eastAsia"/>
          <w:sz w:val="24"/>
          <w:szCs w:val="24"/>
          <w:lang w:val="en-US"/>
        </w:rPr>
        <w:t>4. References</w:t>
      </w:r>
    </w:p>
    <w:p w:rsidR="00CF4E67" w:rsidRDefault="00CF4E67" w:rsidP="00CF4E67">
      <w:pPr>
        <w:numPr>
          <w:ilvl w:val="0"/>
          <w:numId w:val="2"/>
        </w:numPr>
        <w:jc w:val="both"/>
      </w:pPr>
      <w:r w:rsidRPr="00CF4E67">
        <w:t>R4-2002246</w:t>
      </w:r>
      <w:r w:rsidRPr="00CF4E67">
        <w:tab/>
        <w:t>WF on R16 NR RRM enhancements – SRS carrier switching, ZTE</w:t>
      </w:r>
    </w:p>
    <w:p w:rsidR="006B6404" w:rsidRDefault="006B6404" w:rsidP="006B6404">
      <w:pPr>
        <w:numPr>
          <w:ilvl w:val="0"/>
          <w:numId w:val="2"/>
        </w:numPr>
        <w:jc w:val="both"/>
      </w:pPr>
      <w:r w:rsidRPr="00EC7694">
        <w:t>R4</w:t>
      </w:r>
      <w:r w:rsidRPr="007F33F4">
        <w:t>-181</w:t>
      </w:r>
      <w:r>
        <w:t>5938</w:t>
      </w:r>
      <w:r w:rsidRPr="007F33F4">
        <w:t xml:space="preserve"> </w:t>
      </w:r>
      <w:r>
        <w:t xml:space="preserve"> </w:t>
      </w:r>
      <w:r w:rsidRPr="004E66A2">
        <w:t>SRS carrier switching times</w:t>
      </w:r>
      <w:r w:rsidRPr="007F33F4">
        <w:t>,</w:t>
      </w:r>
      <w:r>
        <w:t xml:space="preserve"> Qualcomm</w:t>
      </w:r>
    </w:p>
    <w:p w:rsidR="003E14DB" w:rsidRDefault="003E14DB" w:rsidP="003E14DB">
      <w:pPr>
        <w:numPr>
          <w:ilvl w:val="0"/>
          <w:numId w:val="2"/>
        </w:numPr>
        <w:jc w:val="both"/>
      </w:pPr>
      <w:r w:rsidRPr="00EC7694">
        <w:t>R4</w:t>
      </w:r>
      <w:r w:rsidRPr="007F33F4">
        <w:t>-18</w:t>
      </w:r>
      <w:r>
        <w:t>05660</w:t>
      </w:r>
      <w:r w:rsidRPr="007F33F4">
        <w:t xml:space="preserve"> </w:t>
      </w:r>
      <w:r>
        <w:t xml:space="preserve"> </w:t>
      </w:r>
      <w:r w:rsidRPr="007F33F4">
        <w:t>Reply LS on SRS switching,</w:t>
      </w:r>
      <w:r>
        <w:t xml:space="preserve"> RAN4</w:t>
      </w:r>
    </w:p>
    <w:p w:rsidR="006B6404" w:rsidRPr="003C406F" w:rsidRDefault="006B6404" w:rsidP="00B61D36">
      <w:pPr>
        <w:numPr>
          <w:ilvl w:val="0"/>
          <w:numId w:val="2"/>
        </w:numPr>
        <w:jc w:val="both"/>
      </w:pPr>
    </w:p>
    <w:sectPr w:rsidR="006B6404"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F50" w:rsidRDefault="00123F50">
      <w:pPr>
        <w:spacing w:after="0"/>
      </w:pPr>
      <w:r>
        <w:separator/>
      </w:r>
    </w:p>
  </w:endnote>
  <w:endnote w:type="continuationSeparator" w:id="0">
    <w:p w:rsidR="00123F50" w:rsidRDefault="00123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F50" w:rsidRDefault="00123F50">
      <w:pPr>
        <w:spacing w:after="0"/>
      </w:pPr>
      <w:r>
        <w:separator/>
      </w:r>
    </w:p>
  </w:footnote>
  <w:footnote w:type="continuationSeparator" w:id="0">
    <w:p w:rsidR="00123F50" w:rsidRDefault="00123F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a"/>
      <w:framePr w:wrap="around" w:vAnchor="text" w:hAnchor="margin" w:xAlign="center" w:y="1"/>
      <w:widowControl/>
    </w:pPr>
  </w:p>
  <w:p w:rsidR="00FC2972" w:rsidRDefault="00FC297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A0146"/>
    <w:multiLevelType w:val="hybridMultilevel"/>
    <w:tmpl w:val="315C00F4"/>
    <w:lvl w:ilvl="0" w:tplc="FF7A75F4">
      <w:start w:val="1"/>
      <w:numFmt w:val="bullet"/>
      <w:lvlText w:val="•"/>
      <w:lvlJc w:val="left"/>
      <w:pPr>
        <w:tabs>
          <w:tab w:val="num" w:pos="720"/>
        </w:tabs>
        <w:ind w:left="720" w:hanging="360"/>
      </w:pPr>
      <w:rPr>
        <w:rFonts w:ascii="Arial" w:hAnsi="Arial" w:hint="default"/>
      </w:rPr>
    </w:lvl>
    <w:lvl w:ilvl="1" w:tplc="88A0C788" w:tentative="1">
      <w:start w:val="1"/>
      <w:numFmt w:val="bullet"/>
      <w:lvlText w:val="•"/>
      <w:lvlJc w:val="left"/>
      <w:pPr>
        <w:tabs>
          <w:tab w:val="num" w:pos="1440"/>
        </w:tabs>
        <w:ind w:left="1440" w:hanging="360"/>
      </w:pPr>
      <w:rPr>
        <w:rFonts w:ascii="Arial" w:hAnsi="Arial" w:hint="default"/>
      </w:rPr>
    </w:lvl>
    <w:lvl w:ilvl="2" w:tplc="2822FE56" w:tentative="1">
      <w:start w:val="1"/>
      <w:numFmt w:val="bullet"/>
      <w:lvlText w:val="•"/>
      <w:lvlJc w:val="left"/>
      <w:pPr>
        <w:tabs>
          <w:tab w:val="num" w:pos="2160"/>
        </w:tabs>
        <w:ind w:left="2160" w:hanging="360"/>
      </w:pPr>
      <w:rPr>
        <w:rFonts w:ascii="Arial" w:hAnsi="Arial" w:hint="default"/>
      </w:rPr>
    </w:lvl>
    <w:lvl w:ilvl="3" w:tplc="B734F34C" w:tentative="1">
      <w:start w:val="1"/>
      <w:numFmt w:val="bullet"/>
      <w:lvlText w:val="•"/>
      <w:lvlJc w:val="left"/>
      <w:pPr>
        <w:tabs>
          <w:tab w:val="num" w:pos="2880"/>
        </w:tabs>
        <w:ind w:left="2880" w:hanging="360"/>
      </w:pPr>
      <w:rPr>
        <w:rFonts w:ascii="Arial" w:hAnsi="Arial" w:hint="default"/>
      </w:rPr>
    </w:lvl>
    <w:lvl w:ilvl="4" w:tplc="5E36B616" w:tentative="1">
      <w:start w:val="1"/>
      <w:numFmt w:val="bullet"/>
      <w:lvlText w:val="•"/>
      <w:lvlJc w:val="left"/>
      <w:pPr>
        <w:tabs>
          <w:tab w:val="num" w:pos="3600"/>
        </w:tabs>
        <w:ind w:left="3600" w:hanging="360"/>
      </w:pPr>
      <w:rPr>
        <w:rFonts w:ascii="Arial" w:hAnsi="Arial" w:hint="default"/>
      </w:rPr>
    </w:lvl>
    <w:lvl w:ilvl="5" w:tplc="F4F0610C" w:tentative="1">
      <w:start w:val="1"/>
      <w:numFmt w:val="bullet"/>
      <w:lvlText w:val="•"/>
      <w:lvlJc w:val="left"/>
      <w:pPr>
        <w:tabs>
          <w:tab w:val="num" w:pos="4320"/>
        </w:tabs>
        <w:ind w:left="4320" w:hanging="360"/>
      </w:pPr>
      <w:rPr>
        <w:rFonts w:ascii="Arial" w:hAnsi="Arial" w:hint="default"/>
      </w:rPr>
    </w:lvl>
    <w:lvl w:ilvl="6" w:tplc="9B1E3E6A" w:tentative="1">
      <w:start w:val="1"/>
      <w:numFmt w:val="bullet"/>
      <w:lvlText w:val="•"/>
      <w:lvlJc w:val="left"/>
      <w:pPr>
        <w:tabs>
          <w:tab w:val="num" w:pos="5040"/>
        </w:tabs>
        <w:ind w:left="5040" w:hanging="360"/>
      </w:pPr>
      <w:rPr>
        <w:rFonts w:ascii="Arial" w:hAnsi="Arial" w:hint="default"/>
      </w:rPr>
    </w:lvl>
    <w:lvl w:ilvl="7" w:tplc="D2221044" w:tentative="1">
      <w:start w:val="1"/>
      <w:numFmt w:val="bullet"/>
      <w:lvlText w:val="•"/>
      <w:lvlJc w:val="left"/>
      <w:pPr>
        <w:tabs>
          <w:tab w:val="num" w:pos="5760"/>
        </w:tabs>
        <w:ind w:left="5760" w:hanging="360"/>
      </w:pPr>
      <w:rPr>
        <w:rFonts w:ascii="Arial" w:hAnsi="Arial" w:hint="default"/>
      </w:rPr>
    </w:lvl>
    <w:lvl w:ilvl="8" w:tplc="5B8210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0223D40"/>
    <w:multiLevelType w:val="hybridMultilevel"/>
    <w:tmpl w:val="F6D28002"/>
    <w:lvl w:ilvl="0" w:tplc="5F4E91F4">
      <w:start w:val="1"/>
      <w:numFmt w:val="bullet"/>
      <w:lvlText w:val="–"/>
      <w:lvlJc w:val="left"/>
      <w:pPr>
        <w:tabs>
          <w:tab w:val="num" w:pos="720"/>
        </w:tabs>
        <w:ind w:left="720" w:hanging="360"/>
      </w:pPr>
      <w:rPr>
        <w:rFonts w:ascii="Arial" w:hAnsi="Arial" w:hint="default"/>
      </w:rPr>
    </w:lvl>
    <w:lvl w:ilvl="1" w:tplc="A1604BA4">
      <w:start w:val="1"/>
      <w:numFmt w:val="bullet"/>
      <w:lvlText w:val="–"/>
      <w:lvlJc w:val="left"/>
      <w:pPr>
        <w:tabs>
          <w:tab w:val="num" w:pos="1440"/>
        </w:tabs>
        <w:ind w:left="1440" w:hanging="360"/>
      </w:pPr>
      <w:rPr>
        <w:rFonts w:ascii="Arial" w:hAnsi="Arial" w:hint="default"/>
      </w:rPr>
    </w:lvl>
    <w:lvl w:ilvl="2" w:tplc="5E5EA7D4" w:tentative="1">
      <w:start w:val="1"/>
      <w:numFmt w:val="bullet"/>
      <w:lvlText w:val="–"/>
      <w:lvlJc w:val="left"/>
      <w:pPr>
        <w:tabs>
          <w:tab w:val="num" w:pos="2160"/>
        </w:tabs>
        <w:ind w:left="2160" w:hanging="360"/>
      </w:pPr>
      <w:rPr>
        <w:rFonts w:ascii="Arial" w:hAnsi="Arial" w:hint="default"/>
      </w:rPr>
    </w:lvl>
    <w:lvl w:ilvl="3" w:tplc="DB1E9DBA" w:tentative="1">
      <w:start w:val="1"/>
      <w:numFmt w:val="bullet"/>
      <w:lvlText w:val="–"/>
      <w:lvlJc w:val="left"/>
      <w:pPr>
        <w:tabs>
          <w:tab w:val="num" w:pos="2880"/>
        </w:tabs>
        <w:ind w:left="2880" w:hanging="360"/>
      </w:pPr>
      <w:rPr>
        <w:rFonts w:ascii="Arial" w:hAnsi="Arial" w:hint="default"/>
      </w:rPr>
    </w:lvl>
    <w:lvl w:ilvl="4" w:tplc="7A2096CC" w:tentative="1">
      <w:start w:val="1"/>
      <w:numFmt w:val="bullet"/>
      <w:lvlText w:val="–"/>
      <w:lvlJc w:val="left"/>
      <w:pPr>
        <w:tabs>
          <w:tab w:val="num" w:pos="3600"/>
        </w:tabs>
        <w:ind w:left="3600" w:hanging="360"/>
      </w:pPr>
      <w:rPr>
        <w:rFonts w:ascii="Arial" w:hAnsi="Arial" w:hint="default"/>
      </w:rPr>
    </w:lvl>
    <w:lvl w:ilvl="5" w:tplc="9AD0AD06" w:tentative="1">
      <w:start w:val="1"/>
      <w:numFmt w:val="bullet"/>
      <w:lvlText w:val="–"/>
      <w:lvlJc w:val="left"/>
      <w:pPr>
        <w:tabs>
          <w:tab w:val="num" w:pos="4320"/>
        </w:tabs>
        <w:ind w:left="4320" w:hanging="360"/>
      </w:pPr>
      <w:rPr>
        <w:rFonts w:ascii="Arial" w:hAnsi="Arial" w:hint="default"/>
      </w:rPr>
    </w:lvl>
    <w:lvl w:ilvl="6" w:tplc="45C878B8" w:tentative="1">
      <w:start w:val="1"/>
      <w:numFmt w:val="bullet"/>
      <w:lvlText w:val="–"/>
      <w:lvlJc w:val="left"/>
      <w:pPr>
        <w:tabs>
          <w:tab w:val="num" w:pos="5040"/>
        </w:tabs>
        <w:ind w:left="5040" w:hanging="360"/>
      </w:pPr>
      <w:rPr>
        <w:rFonts w:ascii="Arial" w:hAnsi="Arial" w:hint="default"/>
      </w:rPr>
    </w:lvl>
    <w:lvl w:ilvl="7" w:tplc="94C83330" w:tentative="1">
      <w:start w:val="1"/>
      <w:numFmt w:val="bullet"/>
      <w:lvlText w:val="–"/>
      <w:lvlJc w:val="left"/>
      <w:pPr>
        <w:tabs>
          <w:tab w:val="num" w:pos="5760"/>
        </w:tabs>
        <w:ind w:left="5760" w:hanging="360"/>
      </w:pPr>
      <w:rPr>
        <w:rFonts w:ascii="Arial" w:hAnsi="Arial" w:hint="default"/>
      </w:rPr>
    </w:lvl>
    <w:lvl w:ilvl="8" w:tplc="363AD8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DE70C74"/>
    <w:multiLevelType w:val="hybridMultilevel"/>
    <w:tmpl w:val="EB886212"/>
    <w:lvl w:ilvl="0" w:tplc="DBCE3226">
      <w:start w:val="1"/>
      <w:numFmt w:val="bullet"/>
      <w:lvlText w:val="–"/>
      <w:lvlJc w:val="left"/>
      <w:pPr>
        <w:tabs>
          <w:tab w:val="num" w:pos="720"/>
        </w:tabs>
        <w:ind w:left="720" w:hanging="360"/>
      </w:pPr>
      <w:rPr>
        <w:rFonts w:ascii="Arial" w:hAnsi="Arial" w:hint="default"/>
      </w:rPr>
    </w:lvl>
    <w:lvl w:ilvl="1" w:tplc="555AC7CC">
      <w:start w:val="1"/>
      <w:numFmt w:val="bullet"/>
      <w:lvlText w:val="–"/>
      <w:lvlJc w:val="left"/>
      <w:pPr>
        <w:tabs>
          <w:tab w:val="num" w:pos="1440"/>
        </w:tabs>
        <w:ind w:left="1440" w:hanging="360"/>
      </w:pPr>
      <w:rPr>
        <w:rFonts w:ascii="Arial" w:hAnsi="Arial" w:hint="default"/>
      </w:rPr>
    </w:lvl>
    <w:lvl w:ilvl="2" w:tplc="5A361F9E" w:tentative="1">
      <w:start w:val="1"/>
      <w:numFmt w:val="bullet"/>
      <w:lvlText w:val="–"/>
      <w:lvlJc w:val="left"/>
      <w:pPr>
        <w:tabs>
          <w:tab w:val="num" w:pos="2160"/>
        </w:tabs>
        <w:ind w:left="2160" w:hanging="360"/>
      </w:pPr>
      <w:rPr>
        <w:rFonts w:ascii="Arial" w:hAnsi="Arial" w:hint="default"/>
      </w:rPr>
    </w:lvl>
    <w:lvl w:ilvl="3" w:tplc="63DA414E" w:tentative="1">
      <w:start w:val="1"/>
      <w:numFmt w:val="bullet"/>
      <w:lvlText w:val="–"/>
      <w:lvlJc w:val="left"/>
      <w:pPr>
        <w:tabs>
          <w:tab w:val="num" w:pos="2880"/>
        </w:tabs>
        <w:ind w:left="2880" w:hanging="360"/>
      </w:pPr>
      <w:rPr>
        <w:rFonts w:ascii="Arial" w:hAnsi="Arial" w:hint="default"/>
      </w:rPr>
    </w:lvl>
    <w:lvl w:ilvl="4" w:tplc="AA84FA06" w:tentative="1">
      <w:start w:val="1"/>
      <w:numFmt w:val="bullet"/>
      <w:lvlText w:val="–"/>
      <w:lvlJc w:val="left"/>
      <w:pPr>
        <w:tabs>
          <w:tab w:val="num" w:pos="3600"/>
        </w:tabs>
        <w:ind w:left="3600" w:hanging="360"/>
      </w:pPr>
      <w:rPr>
        <w:rFonts w:ascii="Arial" w:hAnsi="Arial" w:hint="default"/>
      </w:rPr>
    </w:lvl>
    <w:lvl w:ilvl="5" w:tplc="44FCDFAC" w:tentative="1">
      <w:start w:val="1"/>
      <w:numFmt w:val="bullet"/>
      <w:lvlText w:val="–"/>
      <w:lvlJc w:val="left"/>
      <w:pPr>
        <w:tabs>
          <w:tab w:val="num" w:pos="4320"/>
        </w:tabs>
        <w:ind w:left="4320" w:hanging="360"/>
      </w:pPr>
      <w:rPr>
        <w:rFonts w:ascii="Arial" w:hAnsi="Arial" w:hint="default"/>
      </w:rPr>
    </w:lvl>
    <w:lvl w:ilvl="6" w:tplc="6A5A8E04" w:tentative="1">
      <w:start w:val="1"/>
      <w:numFmt w:val="bullet"/>
      <w:lvlText w:val="–"/>
      <w:lvlJc w:val="left"/>
      <w:pPr>
        <w:tabs>
          <w:tab w:val="num" w:pos="5040"/>
        </w:tabs>
        <w:ind w:left="5040" w:hanging="360"/>
      </w:pPr>
      <w:rPr>
        <w:rFonts w:ascii="Arial" w:hAnsi="Arial" w:hint="default"/>
      </w:rPr>
    </w:lvl>
    <w:lvl w:ilvl="7" w:tplc="C7B2A3CA" w:tentative="1">
      <w:start w:val="1"/>
      <w:numFmt w:val="bullet"/>
      <w:lvlText w:val="–"/>
      <w:lvlJc w:val="left"/>
      <w:pPr>
        <w:tabs>
          <w:tab w:val="num" w:pos="5760"/>
        </w:tabs>
        <w:ind w:left="5760" w:hanging="360"/>
      </w:pPr>
      <w:rPr>
        <w:rFonts w:ascii="Arial" w:hAnsi="Arial" w:hint="default"/>
      </w:rPr>
    </w:lvl>
    <w:lvl w:ilvl="8" w:tplc="2F80B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3695E6F"/>
    <w:multiLevelType w:val="hybridMultilevel"/>
    <w:tmpl w:val="07A6B1A6"/>
    <w:lvl w:ilvl="0" w:tplc="A8C876A8">
      <w:start w:val="1"/>
      <w:numFmt w:val="bullet"/>
      <w:lvlText w:val="–"/>
      <w:lvlJc w:val="left"/>
      <w:pPr>
        <w:tabs>
          <w:tab w:val="num" w:pos="720"/>
        </w:tabs>
        <w:ind w:left="720" w:hanging="360"/>
      </w:pPr>
      <w:rPr>
        <w:rFonts w:ascii="Arial" w:hAnsi="Arial" w:hint="default"/>
      </w:rPr>
    </w:lvl>
    <w:lvl w:ilvl="1" w:tplc="6E2AA240">
      <w:start w:val="1"/>
      <w:numFmt w:val="bullet"/>
      <w:lvlText w:val="–"/>
      <w:lvlJc w:val="left"/>
      <w:pPr>
        <w:tabs>
          <w:tab w:val="num" w:pos="1440"/>
        </w:tabs>
        <w:ind w:left="1440" w:hanging="360"/>
      </w:pPr>
      <w:rPr>
        <w:rFonts w:ascii="Arial" w:hAnsi="Arial" w:hint="default"/>
      </w:rPr>
    </w:lvl>
    <w:lvl w:ilvl="2" w:tplc="F4E6DA22" w:tentative="1">
      <w:start w:val="1"/>
      <w:numFmt w:val="bullet"/>
      <w:lvlText w:val="–"/>
      <w:lvlJc w:val="left"/>
      <w:pPr>
        <w:tabs>
          <w:tab w:val="num" w:pos="2160"/>
        </w:tabs>
        <w:ind w:left="2160" w:hanging="360"/>
      </w:pPr>
      <w:rPr>
        <w:rFonts w:ascii="Arial" w:hAnsi="Arial" w:hint="default"/>
      </w:rPr>
    </w:lvl>
    <w:lvl w:ilvl="3" w:tplc="D2025264" w:tentative="1">
      <w:start w:val="1"/>
      <w:numFmt w:val="bullet"/>
      <w:lvlText w:val="–"/>
      <w:lvlJc w:val="left"/>
      <w:pPr>
        <w:tabs>
          <w:tab w:val="num" w:pos="2880"/>
        </w:tabs>
        <w:ind w:left="2880" w:hanging="360"/>
      </w:pPr>
      <w:rPr>
        <w:rFonts w:ascii="Arial" w:hAnsi="Arial" w:hint="default"/>
      </w:rPr>
    </w:lvl>
    <w:lvl w:ilvl="4" w:tplc="1E749000" w:tentative="1">
      <w:start w:val="1"/>
      <w:numFmt w:val="bullet"/>
      <w:lvlText w:val="–"/>
      <w:lvlJc w:val="left"/>
      <w:pPr>
        <w:tabs>
          <w:tab w:val="num" w:pos="3600"/>
        </w:tabs>
        <w:ind w:left="3600" w:hanging="360"/>
      </w:pPr>
      <w:rPr>
        <w:rFonts w:ascii="Arial" w:hAnsi="Arial" w:hint="default"/>
      </w:rPr>
    </w:lvl>
    <w:lvl w:ilvl="5" w:tplc="DCB0E036" w:tentative="1">
      <w:start w:val="1"/>
      <w:numFmt w:val="bullet"/>
      <w:lvlText w:val="–"/>
      <w:lvlJc w:val="left"/>
      <w:pPr>
        <w:tabs>
          <w:tab w:val="num" w:pos="4320"/>
        </w:tabs>
        <w:ind w:left="4320" w:hanging="360"/>
      </w:pPr>
      <w:rPr>
        <w:rFonts w:ascii="Arial" w:hAnsi="Arial" w:hint="default"/>
      </w:rPr>
    </w:lvl>
    <w:lvl w:ilvl="6" w:tplc="2D50E02E" w:tentative="1">
      <w:start w:val="1"/>
      <w:numFmt w:val="bullet"/>
      <w:lvlText w:val="–"/>
      <w:lvlJc w:val="left"/>
      <w:pPr>
        <w:tabs>
          <w:tab w:val="num" w:pos="5040"/>
        </w:tabs>
        <w:ind w:left="5040" w:hanging="360"/>
      </w:pPr>
      <w:rPr>
        <w:rFonts w:ascii="Arial" w:hAnsi="Arial" w:hint="default"/>
      </w:rPr>
    </w:lvl>
    <w:lvl w:ilvl="7" w:tplc="026A08FC" w:tentative="1">
      <w:start w:val="1"/>
      <w:numFmt w:val="bullet"/>
      <w:lvlText w:val="–"/>
      <w:lvlJc w:val="left"/>
      <w:pPr>
        <w:tabs>
          <w:tab w:val="num" w:pos="5760"/>
        </w:tabs>
        <w:ind w:left="5760" w:hanging="360"/>
      </w:pPr>
      <w:rPr>
        <w:rFonts w:ascii="Arial" w:hAnsi="Arial" w:hint="default"/>
      </w:rPr>
    </w:lvl>
    <w:lvl w:ilvl="8" w:tplc="0172F2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552AC"/>
    <w:multiLevelType w:val="hybridMultilevel"/>
    <w:tmpl w:val="CB3C433A"/>
    <w:lvl w:ilvl="0" w:tplc="5984917C">
      <w:start w:val="1"/>
      <w:numFmt w:val="bullet"/>
      <w:lvlText w:val="•"/>
      <w:lvlJc w:val="left"/>
      <w:pPr>
        <w:tabs>
          <w:tab w:val="num" w:pos="720"/>
        </w:tabs>
        <w:ind w:left="720" w:hanging="360"/>
      </w:pPr>
      <w:rPr>
        <w:rFonts w:ascii="Arial" w:hAnsi="Arial" w:hint="default"/>
      </w:rPr>
    </w:lvl>
    <w:lvl w:ilvl="1" w:tplc="DFB23A88">
      <w:numFmt w:val="bullet"/>
      <w:lvlText w:val="–"/>
      <w:lvlJc w:val="left"/>
      <w:pPr>
        <w:tabs>
          <w:tab w:val="num" w:pos="1440"/>
        </w:tabs>
        <w:ind w:left="1440" w:hanging="360"/>
      </w:pPr>
      <w:rPr>
        <w:rFonts w:ascii="Arial" w:hAnsi="Arial" w:hint="default"/>
      </w:rPr>
    </w:lvl>
    <w:lvl w:ilvl="2" w:tplc="BBD8DBE6" w:tentative="1">
      <w:start w:val="1"/>
      <w:numFmt w:val="bullet"/>
      <w:lvlText w:val="•"/>
      <w:lvlJc w:val="left"/>
      <w:pPr>
        <w:tabs>
          <w:tab w:val="num" w:pos="2160"/>
        </w:tabs>
        <w:ind w:left="2160" w:hanging="360"/>
      </w:pPr>
      <w:rPr>
        <w:rFonts w:ascii="Arial" w:hAnsi="Arial" w:hint="default"/>
      </w:rPr>
    </w:lvl>
    <w:lvl w:ilvl="3" w:tplc="99D89F96" w:tentative="1">
      <w:start w:val="1"/>
      <w:numFmt w:val="bullet"/>
      <w:lvlText w:val="•"/>
      <w:lvlJc w:val="left"/>
      <w:pPr>
        <w:tabs>
          <w:tab w:val="num" w:pos="2880"/>
        </w:tabs>
        <w:ind w:left="2880" w:hanging="360"/>
      </w:pPr>
      <w:rPr>
        <w:rFonts w:ascii="Arial" w:hAnsi="Arial" w:hint="default"/>
      </w:rPr>
    </w:lvl>
    <w:lvl w:ilvl="4" w:tplc="E96EE332" w:tentative="1">
      <w:start w:val="1"/>
      <w:numFmt w:val="bullet"/>
      <w:lvlText w:val="•"/>
      <w:lvlJc w:val="left"/>
      <w:pPr>
        <w:tabs>
          <w:tab w:val="num" w:pos="3600"/>
        </w:tabs>
        <w:ind w:left="3600" w:hanging="360"/>
      </w:pPr>
      <w:rPr>
        <w:rFonts w:ascii="Arial" w:hAnsi="Arial" w:hint="default"/>
      </w:rPr>
    </w:lvl>
    <w:lvl w:ilvl="5" w:tplc="A9B29B76" w:tentative="1">
      <w:start w:val="1"/>
      <w:numFmt w:val="bullet"/>
      <w:lvlText w:val="•"/>
      <w:lvlJc w:val="left"/>
      <w:pPr>
        <w:tabs>
          <w:tab w:val="num" w:pos="4320"/>
        </w:tabs>
        <w:ind w:left="4320" w:hanging="360"/>
      </w:pPr>
      <w:rPr>
        <w:rFonts w:ascii="Arial" w:hAnsi="Arial" w:hint="default"/>
      </w:rPr>
    </w:lvl>
    <w:lvl w:ilvl="6" w:tplc="7CB47FAC" w:tentative="1">
      <w:start w:val="1"/>
      <w:numFmt w:val="bullet"/>
      <w:lvlText w:val="•"/>
      <w:lvlJc w:val="left"/>
      <w:pPr>
        <w:tabs>
          <w:tab w:val="num" w:pos="5040"/>
        </w:tabs>
        <w:ind w:left="5040" w:hanging="360"/>
      </w:pPr>
      <w:rPr>
        <w:rFonts w:ascii="Arial" w:hAnsi="Arial" w:hint="default"/>
      </w:rPr>
    </w:lvl>
    <w:lvl w:ilvl="7" w:tplc="7AB2857A" w:tentative="1">
      <w:start w:val="1"/>
      <w:numFmt w:val="bullet"/>
      <w:lvlText w:val="•"/>
      <w:lvlJc w:val="left"/>
      <w:pPr>
        <w:tabs>
          <w:tab w:val="num" w:pos="5760"/>
        </w:tabs>
        <w:ind w:left="5760" w:hanging="360"/>
      </w:pPr>
      <w:rPr>
        <w:rFonts w:ascii="Arial" w:hAnsi="Arial" w:hint="default"/>
      </w:rPr>
    </w:lvl>
    <w:lvl w:ilvl="8" w:tplc="24F2AF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DBD0A63"/>
    <w:multiLevelType w:val="hybridMultilevel"/>
    <w:tmpl w:val="D62C1104"/>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F910C7"/>
    <w:multiLevelType w:val="hybridMultilevel"/>
    <w:tmpl w:val="A56A523C"/>
    <w:lvl w:ilvl="0" w:tplc="55062782">
      <w:start w:val="1"/>
      <w:numFmt w:val="bullet"/>
      <w:lvlText w:val="•"/>
      <w:lvlJc w:val="left"/>
      <w:pPr>
        <w:tabs>
          <w:tab w:val="num" w:pos="360"/>
        </w:tabs>
        <w:ind w:left="360" w:hanging="360"/>
      </w:pPr>
      <w:rPr>
        <w:rFonts w:ascii="Arial" w:hAnsi="Arial" w:hint="default"/>
      </w:rPr>
    </w:lvl>
    <w:lvl w:ilvl="1" w:tplc="14F44ABE" w:tentative="1">
      <w:start w:val="1"/>
      <w:numFmt w:val="bullet"/>
      <w:lvlText w:val="•"/>
      <w:lvlJc w:val="left"/>
      <w:pPr>
        <w:tabs>
          <w:tab w:val="num" w:pos="1080"/>
        </w:tabs>
        <w:ind w:left="1080" w:hanging="360"/>
      </w:pPr>
      <w:rPr>
        <w:rFonts w:ascii="Arial" w:hAnsi="Arial" w:hint="default"/>
      </w:rPr>
    </w:lvl>
    <w:lvl w:ilvl="2" w:tplc="F3A0DA72" w:tentative="1">
      <w:start w:val="1"/>
      <w:numFmt w:val="bullet"/>
      <w:lvlText w:val="•"/>
      <w:lvlJc w:val="left"/>
      <w:pPr>
        <w:tabs>
          <w:tab w:val="num" w:pos="1800"/>
        </w:tabs>
        <w:ind w:left="1800" w:hanging="360"/>
      </w:pPr>
      <w:rPr>
        <w:rFonts w:ascii="Arial" w:hAnsi="Arial" w:hint="default"/>
      </w:rPr>
    </w:lvl>
    <w:lvl w:ilvl="3" w:tplc="C3169EB6" w:tentative="1">
      <w:start w:val="1"/>
      <w:numFmt w:val="bullet"/>
      <w:lvlText w:val="•"/>
      <w:lvlJc w:val="left"/>
      <w:pPr>
        <w:tabs>
          <w:tab w:val="num" w:pos="2520"/>
        </w:tabs>
        <w:ind w:left="2520" w:hanging="360"/>
      </w:pPr>
      <w:rPr>
        <w:rFonts w:ascii="Arial" w:hAnsi="Arial" w:hint="default"/>
      </w:rPr>
    </w:lvl>
    <w:lvl w:ilvl="4" w:tplc="59CC4998" w:tentative="1">
      <w:start w:val="1"/>
      <w:numFmt w:val="bullet"/>
      <w:lvlText w:val="•"/>
      <w:lvlJc w:val="left"/>
      <w:pPr>
        <w:tabs>
          <w:tab w:val="num" w:pos="3240"/>
        </w:tabs>
        <w:ind w:left="3240" w:hanging="360"/>
      </w:pPr>
      <w:rPr>
        <w:rFonts w:ascii="Arial" w:hAnsi="Arial" w:hint="default"/>
      </w:rPr>
    </w:lvl>
    <w:lvl w:ilvl="5" w:tplc="DAEE5E84" w:tentative="1">
      <w:start w:val="1"/>
      <w:numFmt w:val="bullet"/>
      <w:lvlText w:val="•"/>
      <w:lvlJc w:val="left"/>
      <w:pPr>
        <w:tabs>
          <w:tab w:val="num" w:pos="3960"/>
        </w:tabs>
        <w:ind w:left="3960" w:hanging="360"/>
      </w:pPr>
      <w:rPr>
        <w:rFonts w:ascii="Arial" w:hAnsi="Arial" w:hint="default"/>
      </w:rPr>
    </w:lvl>
    <w:lvl w:ilvl="6" w:tplc="73DC506C" w:tentative="1">
      <w:start w:val="1"/>
      <w:numFmt w:val="bullet"/>
      <w:lvlText w:val="•"/>
      <w:lvlJc w:val="left"/>
      <w:pPr>
        <w:tabs>
          <w:tab w:val="num" w:pos="4680"/>
        </w:tabs>
        <w:ind w:left="4680" w:hanging="360"/>
      </w:pPr>
      <w:rPr>
        <w:rFonts w:ascii="Arial" w:hAnsi="Arial" w:hint="default"/>
      </w:rPr>
    </w:lvl>
    <w:lvl w:ilvl="7" w:tplc="9CD0550C" w:tentative="1">
      <w:start w:val="1"/>
      <w:numFmt w:val="bullet"/>
      <w:lvlText w:val="•"/>
      <w:lvlJc w:val="left"/>
      <w:pPr>
        <w:tabs>
          <w:tab w:val="num" w:pos="5400"/>
        </w:tabs>
        <w:ind w:left="5400" w:hanging="360"/>
      </w:pPr>
      <w:rPr>
        <w:rFonts w:ascii="Arial" w:hAnsi="Arial" w:hint="default"/>
      </w:rPr>
    </w:lvl>
    <w:lvl w:ilvl="8" w:tplc="476662B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FC62E19"/>
    <w:multiLevelType w:val="hybridMultilevel"/>
    <w:tmpl w:val="40428CFC"/>
    <w:lvl w:ilvl="0" w:tplc="2D3E1786">
      <w:start w:val="1"/>
      <w:numFmt w:val="bullet"/>
      <w:lvlText w:val="–"/>
      <w:lvlJc w:val="left"/>
      <w:pPr>
        <w:tabs>
          <w:tab w:val="num" w:pos="720"/>
        </w:tabs>
        <w:ind w:left="720" w:hanging="360"/>
      </w:pPr>
      <w:rPr>
        <w:rFonts w:ascii="Arial" w:hAnsi="Arial" w:hint="default"/>
      </w:rPr>
    </w:lvl>
    <w:lvl w:ilvl="1" w:tplc="DE3A15E4">
      <w:start w:val="1"/>
      <w:numFmt w:val="bullet"/>
      <w:lvlText w:val="–"/>
      <w:lvlJc w:val="left"/>
      <w:pPr>
        <w:tabs>
          <w:tab w:val="num" w:pos="1440"/>
        </w:tabs>
        <w:ind w:left="1440" w:hanging="360"/>
      </w:pPr>
      <w:rPr>
        <w:rFonts w:ascii="Arial" w:hAnsi="Arial" w:hint="default"/>
      </w:rPr>
    </w:lvl>
    <w:lvl w:ilvl="2" w:tplc="1C7C11D4" w:tentative="1">
      <w:start w:val="1"/>
      <w:numFmt w:val="bullet"/>
      <w:lvlText w:val="–"/>
      <w:lvlJc w:val="left"/>
      <w:pPr>
        <w:tabs>
          <w:tab w:val="num" w:pos="2160"/>
        </w:tabs>
        <w:ind w:left="2160" w:hanging="360"/>
      </w:pPr>
      <w:rPr>
        <w:rFonts w:ascii="Arial" w:hAnsi="Arial" w:hint="default"/>
      </w:rPr>
    </w:lvl>
    <w:lvl w:ilvl="3" w:tplc="30243418" w:tentative="1">
      <w:start w:val="1"/>
      <w:numFmt w:val="bullet"/>
      <w:lvlText w:val="–"/>
      <w:lvlJc w:val="left"/>
      <w:pPr>
        <w:tabs>
          <w:tab w:val="num" w:pos="2880"/>
        </w:tabs>
        <w:ind w:left="2880" w:hanging="360"/>
      </w:pPr>
      <w:rPr>
        <w:rFonts w:ascii="Arial" w:hAnsi="Arial" w:hint="default"/>
      </w:rPr>
    </w:lvl>
    <w:lvl w:ilvl="4" w:tplc="E07A5EC8" w:tentative="1">
      <w:start w:val="1"/>
      <w:numFmt w:val="bullet"/>
      <w:lvlText w:val="–"/>
      <w:lvlJc w:val="left"/>
      <w:pPr>
        <w:tabs>
          <w:tab w:val="num" w:pos="3600"/>
        </w:tabs>
        <w:ind w:left="3600" w:hanging="360"/>
      </w:pPr>
      <w:rPr>
        <w:rFonts w:ascii="Arial" w:hAnsi="Arial" w:hint="default"/>
      </w:rPr>
    </w:lvl>
    <w:lvl w:ilvl="5" w:tplc="B5505132" w:tentative="1">
      <w:start w:val="1"/>
      <w:numFmt w:val="bullet"/>
      <w:lvlText w:val="–"/>
      <w:lvlJc w:val="left"/>
      <w:pPr>
        <w:tabs>
          <w:tab w:val="num" w:pos="4320"/>
        </w:tabs>
        <w:ind w:left="4320" w:hanging="360"/>
      </w:pPr>
      <w:rPr>
        <w:rFonts w:ascii="Arial" w:hAnsi="Arial" w:hint="default"/>
      </w:rPr>
    </w:lvl>
    <w:lvl w:ilvl="6" w:tplc="69AE9156" w:tentative="1">
      <w:start w:val="1"/>
      <w:numFmt w:val="bullet"/>
      <w:lvlText w:val="–"/>
      <w:lvlJc w:val="left"/>
      <w:pPr>
        <w:tabs>
          <w:tab w:val="num" w:pos="5040"/>
        </w:tabs>
        <w:ind w:left="5040" w:hanging="360"/>
      </w:pPr>
      <w:rPr>
        <w:rFonts w:ascii="Arial" w:hAnsi="Arial" w:hint="default"/>
      </w:rPr>
    </w:lvl>
    <w:lvl w:ilvl="7" w:tplc="2BF01E06" w:tentative="1">
      <w:start w:val="1"/>
      <w:numFmt w:val="bullet"/>
      <w:lvlText w:val="–"/>
      <w:lvlJc w:val="left"/>
      <w:pPr>
        <w:tabs>
          <w:tab w:val="num" w:pos="5760"/>
        </w:tabs>
        <w:ind w:left="5760" w:hanging="360"/>
      </w:pPr>
      <w:rPr>
        <w:rFonts w:ascii="Arial" w:hAnsi="Arial" w:hint="default"/>
      </w:rPr>
    </w:lvl>
    <w:lvl w:ilvl="8" w:tplc="235A9A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363419"/>
    <w:multiLevelType w:val="hybridMultilevel"/>
    <w:tmpl w:val="A14EBC1E"/>
    <w:lvl w:ilvl="0" w:tplc="77D6DC58">
      <w:start w:val="1"/>
      <w:numFmt w:val="bullet"/>
      <w:lvlText w:val="•"/>
      <w:lvlJc w:val="left"/>
      <w:pPr>
        <w:tabs>
          <w:tab w:val="num" w:pos="720"/>
        </w:tabs>
        <w:ind w:left="720" w:hanging="360"/>
      </w:pPr>
      <w:rPr>
        <w:rFonts w:ascii="Arial" w:hAnsi="Arial" w:hint="default"/>
      </w:rPr>
    </w:lvl>
    <w:lvl w:ilvl="1" w:tplc="A732CE28">
      <w:numFmt w:val="bullet"/>
      <w:lvlText w:val="–"/>
      <w:lvlJc w:val="left"/>
      <w:pPr>
        <w:tabs>
          <w:tab w:val="num" w:pos="1440"/>
        </w:tabs>
        <w:ind w:left="1440" w:hanging="360"/>
      </w:pPr>
      <w:rPr>
        <w:rFonts w:ascii="Arial" w:hAnsi="Arial" w:hint="default"/>
      </w:rPr>
    </w:lvl>
    <w:lvl w:ilvl="2" w:tplc="5B0E868C" w:tentative="1">
      <w:start w:val="1"/>
      <w:numFmt w:val="bullet"/>
      <w:lvlText w:val="•"/>
      <w:lvlJc w:val="left"/>
      <w:pPr>
        <w:tabs>
          <w:tab w:val="num" w:pos="2160"/>
        </w:tabs>
        <w:ind w:left="2160" w:hanging="360"/>
      </w:pPr>
      <w:rPr>
        <w:rFonts w:ascii="Arial" w:hAnsi="Arial" w:hint="default"/>
      </w:rPr>
    </w:lvl>
    <w:lvl w:ilvl="3" w:tplc="4CFA8DAA" w:tentative="1">
      <w:start w:val="1"/>
      <w:numFmt w:val="bullet"/>
      <w:lvlText w:val="•"/>
      <w:lvlJc w:val="left"/>
      <w:pPr>
        <w:tabs>
          <w:tab w:val="num" w:pos="2880"/>
        </w:tabs>
        <w:ind w:left="2880" w:hanging="360"/>
      </w:pPr>
      <w:rPr>
        <w:rFonts w:ascii="Arial" w:hAnsi="Arial" w:hint="default"/>
      </w:rPr>
    </w:lvl>
    <w:lvl w:ilvl="4" w:tplc="5A0AB70E" w:tentative="1">
      <w:start w:val="1"/>
      <w:numFmt w:val="bullet"/>
      <w:lvlText w:val="•"/>
      <w:lvlJc w:val="left"/>
      <w:pPr>
        <w:tabs>
          <w:tab w:val="num" w:pos="3600"/>
        </w:tabs>
        <w:ind w:left="3600" w:hanging="360"/>
      </w:pPr>
      <w:rPr>
        <w:rFonts w:ascii="Arial" w:hAnsi="Arial" w:hint="default"/>
      </w:rPr>
    </w:lvl>
    <w:lvl w:ilvl="5" w:tplc="13C849AE" w:tentative="1">
      <w:start w:val="1"/>
      <w:numFmt w:val="bullet"/>
      <w:lvlText w:val="•"/>
      <w:lvlJc w:val="left"/>
      <w:pPr>
        <w:tabs>
          <w:tab w:val="num" w:pos="4320"/>
        </w:tabs>
        <w:ind w:left="4320" w:hanging="360"/>
      </w:pPr>
      <w:rPr>
        <w:rFonts w:ascii="Arial" w:hAnsi="Arial" w:hint="default"/>
      </w:rPr>
    </w:lvl>
    <w:lvl w:ilvl="6" w:tplc="16BA3B7C" w:tentative="1">
      <w:start w:val="1"/>
      <w:numFmt w:val="bullet"/>
      <w:lvlText w:val="•"/>
      <w:lvlJc w:val="left"/>
      <w:pPr>
        <w:tabs>
          <w:tab w:val="num" w:pos="5040"/>
        </w:tabs>
        <w:ind w:left="5040" w:hanging="360"/>
      </w:pPr>
      <w:rPr>
        <w:rFonts w:ascii="Arial" w:hAnsi="Arial" w:hint="default"/>
      </w:rPr>
    </w:lvl>
    <w:lvl w:ilvl="7" w:tplc="67885C3E" w:tentative="1">
      <w:start w:val="1"/>
      <w:numFmt w:val="bullet"/>
      <w:lvlText w:val="•"/>
      <w:lvlJc w:val="left"/>
      <w:pPr>
        <w:tabs>
          <w:tab w:val="num" w:pos="5760"/>
        </w:tabs>
        <w:ind w:left="5760" w:hanging="360"/>
      </w:pPr>
      <w:rPr>
        <w:rFonts w:ascii="Arial" w:hAnsi="Arial" w:hint="default"/>
      </w:rPr>
    </w:lvl>
    <w:lvl w:ilvl="8" w:tplc="45CC18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E02A5E"/>
    <w:multiLevelType w:val="hybridMultilevel"/>
    <w:tmpl w:val="010A2E18"/>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8090003">
      <w:start w:val="1"/>
      <w:numFmt w:val="bullet"/>
      <w:lvlText w:val="o"/>
      <w:lvlJc w:val="left"/>
      <w:pPr>
        <w:ind w:left="1964" w:hanging="420"/>
      </w:pPr>
      <w:rPr>
        <w:rFonts w:ascii="Courier New" w:hAnsi="Courier New" w:cs="Courier New"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A0661ED"/>
    <w:multiLevelType w:val="hybridMultilevel"/>
    <w:tmpl w:val="02CE131E"/>
    <w:lvl w:ilvl="0" w:tplc="B9AA52E6">
      <w:start w:val="1"/>
      <w:numFmt w:val="bullet"/>
      <w:lvlText w:val="•"/>
      <w:lvlJc w:val="left"/>
      <w:pPr>
        <w:tabs>
          <w:tab w:val="num" w:pos="720"/>
        </w:tabs>
        <w:ind w:left="720" w:hanging="360"/>
      </w:pPr>
      <w:rPr>
        <w:rFonts w:ascii="Arial" w:hAnsi="Arial" w:hint="default"/>
      </w:rPr>
    </w:lvl>
    <w:lvl w:ilvl="1" w:tplc="9A6A7DA4">
      <w:numFmt w:val="bullet"/>
      <w:lvlText w:val="–"/>
      <w:lvlJc w:val="left"/>
      <w:pPr>
        <w:tabs>
          <w:tab w:val="num" w:pos="1440"/>
        </w:tabs>
        <w:ind w:left="1440" w:hanging="360"/>
      </w:pPr>
      <w:rPr>
        <w:rFonts w:ascii="Arial" w:hAnsi="Arial" w:hint="default"/>
      </w:rPr>
    </w:lvl>
    <w:lvl w:ilvl="2" w:tplc="8E8059E6" w:tentative="1">
      <w:start w:val="1"/>
      <w:numFmt w:val="bullet"/>
      <w:lvlText w:val="•"/>
      <w:lvlJc w:val="left"/>
      <w:pPr>
        <w:tabs>
          <w:tab w:val="num" w:pos="2160"/>
        </w:tabs>
        <w:ind w:left="2160" w:hanging="360"/>
      </w:pPr>
      <w:rPr>
        <w:rFonts w:ascii="Arial" w:hAnsi="Arial" w:hint="default"/>
      </w:rPr>
    </w:lvl>
    <w:lvl w:ilvl="3" w:tplc="39FA95E4" w:tentative="1">
      <w:start w:val="1"/>
      <w:numFmt w:val="bullet"/>
      <w:lvlText w:val="•"/>
      <w:lvlJc w:val="left"/>
      <w:pPr>
        <w:tabs>
          <w:tab w:val="num" w:pos="2880"/>
        </w:tabs>
        <w:ind w:left="2880" w:hanging="360"/>
      </w:pPr>
      <w:rPr>
        <w:rFonts w:ascii="Arial" w:hAnsi="Arial" w:hint="default"/>
      </w:rPr>
    </w:lvl>
    <w:lvl w:ilvl="4" w:tplc="E556D4DE" w:tentative="1">
      <w:start w:val="1"/>
      <w:numFmt w:val="bullet"/>
      <w:lvlText w:val="•"/>
      <w:lvlJc w:val="left"/>
      <w:pPr>
        <w:tabs>
          <w:tab w:val="num" w:pos="3600"/>
        </w:tabs>
        <w:ind w:left="3600" w:hanging="360"/>
      </w:pPr>
      <w:rPr>
        <w:rFonts w:ascii="Arial" w:hAnsi="Arial" w:hint="default"/>
      </w:rPr>
    </w:lvl>
    <w:lvl w:ilvl="5" w:tplc="E3083EB2" w:tentative="1">
      <w:start w:val="1"/>
      <w:numFmt w:val="bullet"/>
      <w:lvlText w:val="•"/>
      <w:lvlJc w:val="left"/>
      <w:pPr>
        <w:tabs>
          <w:tab w:val="num" w:pos="4320"/>
        </w:tabs>
        <w:ind w:left="4320" w:hanging="360"/>
      </w:pPr>
      <w:rPr>
        <w:rFonts w:ascii="Arial" w:hAnsi="Arial" w:hint="default"/>
      </w:rPr>
    </w:lvl>
    <w:lvl w:ilvl="6" w:tplc="9752B16A" w:tentative="1">
      <w:start w:val="1"/>
      <w:numFmt w:val="bullet"/>
      <w:lvlText w:val="•"/>
      <w:lvlJc w:val="left"/>
      <w:pPr>
        <w:tabs>
          <w:tab w:val="num" w:pos="5040"/>
        </w:tabs>
        <w:ind w:left="5040" w:hanging="360"/>
      </w:pPr>
      <w:rPr>
        <w:rFonts w:ascii="Arial" w:hAnsi="Arial" w:hint="default"/>
      </w:rPr>
    </w:lvl>
    <w:lvl w:ilvl="7" w:tplc="AF46C79A" w:tentative="1">
      <w:start w:val="1"/>
      <w:numFmt w:val="bullet"/>
      <w:lvlText w:val="•"/>
      <w:lvlJc w:val="left"/>
      <w:pPr>
        <w:tabs>
          <w:tab w:val="num" w:pos="5760"/>
        </w:tabs>
        <w:ind w:left="5760" w:hanging="360"/>
      </w:pPr>
      <w:rPr>
        <w:rFonts w:ascii="Arial" w:hAnsi="Arial" w:hint="default"/>
      </w:rPr>
    </w:lvl>
    <w:lvl w:ilvl="8" w:tplc="0BEA7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4F32A8"/>
    <w:multiLevelType w:val="hybridMultilevel"/>
    <w:tmpl w:val="2F5C40F2"/>
    <w:lvl w:ilvl="0" w:tplc="DF7E99E0">
      <w:start w:val="1"/>
      <w:numFmt w:val="bullet"/>
      <w:lvlText w:val="•"/>
      <w:lvlJc w:val="left"/>
      <w:pPr>
        <w:tabs>
          <w:tab w:val="num" w:pos="360"/>
        </w:tabs>
        <w:ind w:left="360" w:hanging="360"/>
      </w:pPr>
      <w:rPr>
        <w:rFonts w:ascii="Arial" w:hAnsi="Arial" w:hint="default"/>
      </w:rPr>
    </w:lvl>
    <w:lvl w:ilvl="1" w:tplc="D1F2E8B6">
      <w:start w:val="1"/>
      <w:numFmt w:val="bullet"/>
      <w:lvlText w:val="•"/>
      <w:lvlJc w:val="left"/>
      <w:pPr>
        <w:tabs>
          <w:tab w:val="num" w:pos="1080"/>
        </w:tabs>
        <w:ind w:left="1080" w:hanging="360"/>
      </w:pPr>
      <w:rPr>
        <w:rFonts w:ascii="Arial" w:hAnsi="Arial" w:hint="default"/>
      </w:rPr>
    </w:lvl>
    <w:lvl w:ilvl="2" w:tplc="413C2B36" w:tentative="1">
      <w:start w:val="1"/>
      <w:numFmt w:val="bullet"/>
      <w:lvlText w:val="•"/>
      <w:lvlJc w:val="left"/>
      <w:pPr>
        <w:tabs>
          <w:tab w:val="num" w:pos="1800"/>
        </w:tabs>
        <w:ind w:left="1800" w:hanging="360"/>
      </w:pPr>
      <w:rPr>
        <w:rFonts w:ascii="Arial" w:hAnsi="Arial" w:hint="default"/>
      </w:rPr>
    </w:lvl>
    <w:lvl w:ilvl="3" w:tplc="35F0A4BE" w:tentative="1">
      <w:start w:val="1"/>
      <w:numFmt w:val="bullet"/>
      <w:lvlText w:val="•"/>
      <w:lvlJc w:val="left"/>
      <w:pPr>
        <w:tabs>
          <w:tab w:val="num" w:pos="2520"/>
        </w:tabs>
        <w:ind w:left="2520" w:hanging="360"/>
      </w:pPr>
      <w:rPr>
        <w:rFonts w:ascii="Arial" w:hAnsi="Arial" w:hint="default"/>
      </w:rPr>
    </w:lvl>
    <w:lvl w:ilvl="4" w:tplc="A1D874E4" w:tentative="1">
      <w:start w:val="1"/>
      <w:numFmt w:val="bullet"/>
      <w:lvlText w:val="•"/>
      <w:lvlJc w:val="left"/>
      <w:pPr>
        <w:tabs>
          <w:tab w:val="num" w:pos="3240"/>
        </w:tabs>
        <w:ind w:left="3240" w:hanging="360"/>
      </w:pPr>
      <w:rPr>
        <w:rFonts w:ascii="Arial" w:hAnsi="Arial" w:hint="default"/>
      </w:rPr>
    </w:lvl>
    <w:lvl w:ilvl="5" w:tplc="D46E0278" w:tentative="1">
      <w:start w:val="1"/>
      <w:numFmt w:val="bullet"/>
      <w:lvlText w:val="•"/>
      <w:lvlJc w:val="left"/>
      <w:pPr>
        <w:tabs>
          <w:tab w:val="num" w:pos="3960"/>
        </w:tabs>
        <w:ind w:left="3960" w:hanging="360"/>
      </w:pPr>
      <w:rPr>
        <w:rFonts w:ascii="Arial" w:hAnsi="Arial" w:hint="default"/>
      </w:rPr>
    </w:lvl>
    <w:lvl w:ilvl="6" w:tplc="152CB7A0" w:tentative="1">
      <w:start w:val="1"/>
      <w:numFmt w:val="bullet"/>
      <w:lvlText w:val="•"/>
      <w:lvlJc w:val="left"/>
      <w:pPr>
        <w:tabs>
          <w:tab w:val="num" w:pos="4680"/>
        </w:tabs>
        <w:ind w:left="4680" w:hanging="360"/>
      </w:pPr>
      <w:rPr>
        <w:rFonts w:ascii="Arial" w:hAnsi="Arial" w:hint="default"/>
      </w:rPr>
    </w:lvl>
    <w:lvl w:ilvl="7" w:tplc="E85A7A9E" w:tentative="1">
      <w:start w:val="1"/>
      <w:numFmt w:val="bullet"/>
      <w:lvlText w:val="•"/>
      <w:lvlJc w:val="left"/>
      <w:pPr>
        <w:tabs>
          <w:tab w:val="num" w:pos="5400"/>
        </w:tabs>
        <w:ind w:left="5400" w:hanging="360"/>
      </w:pPr>
      <w:rPr>
        <w:rFonts w:ascii="Arial" w:hAnsi="Arial" w:hint="default"/>
      </w:rPr>
    </w:lvl>
    <w:lvl w:ilvl="8" w:tplc="6E12280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EE954A6"/>
    <w:multiLevelType w:val="hybridMultilevel"/>
    <w:tmpl w:val="6FA8E516"/>
    <w:lvl w:ilvl="0" w:tplc="406CE4C0">
      <w:start w:val="1"/>
      <w:numFmt w:val="bullet"/>
      <w:lvlText w:val="–"/>
      <w:lvlJc w:val="left"/>
      <w:pPr>
        <w:tabs>
          <w:tab w:val="num" w:pos="720"/>
        </w:tabs>
        <w:ind w:left="720" w:hanging="360"/>
      </w:pPr>
      <w:rPr>
        <w:rFonts w:ascii="Arial" w:hAnsi="Arial" w:hint="default"/>
      </w:rPr>
    </w:lvl>
    <w:lvl w:ilvl="1" w:tplc="50D45C3C">
      <w:start w:val="1"/>
      <w:numFmt w:val="bullet"/>
      <w:lvlText w:val="–"/>
      <w:lvlJc w:val="left"/>
      <w:pPr>
        <w:tabs>
          <w:tab w:val="num" w:pos="1440"/>
        </w:tabs>
        <w:ind w:left="1440" w:hanging="360"/>
      </w:pPr>
      <w:rPr>
        <w:rFonts w:ascii="Arial" w:hAnsi="Arial" w:hint="default"/>
      </w:rPr>
    </w:lvl>
    <w:lvl w:ilvl="2" w:tplc="FC70FF86" w:tentative="1">
      <w:start w:val="1"/>
      <w:numFmt w:val="bullet"/>
      <w:lvlText w:val="–"/>
      <w:lvlJc w:val="left"/>
      <w:pPr>
        <w:tabs>
          <w:tab w:val="num" w:pos="2160"/>
        </w:tabs>
        <w:ind w:left="2160" w:hanging="360"/>
      </w:pPr>
      <w:rPr>
        <w:rFonts w:ascii="Arial" w:hAnsi="Arial" w:hint="default"/>
      </w:rPr>
    </w:lvl>
    <w:lvl w:ilvl="3" w:tplc="49A22662" w:tentative="1">
      <w:start w:val="1"/>
      <w:numFmt w:val="bullet"/>
      <w:lvlText w:val="–"/>
      <w:lvlJc w:val="left"/>
      <w:pPr>
        <w:tabs>
          <w:tab w:val="num" w:pos="2880"/>
        </w:tabs>
        <w:ind w:left="2880" w:hanging="360"/>
      </w:pPr>
      <w:rPr>
        <w:rFonts w:ascii="Arial" w:hAnsi="Arial" w:hint="default"/>
      </w:rPr>
    </w:lvl>
    <w:lvl w:ilvl="4" w:tplc="DB5600F6" w:tentative="1">
      <w:start w:val="1"/>
      <w:numFmt w:val="bullet"/>
      <w:lvlText w:val="–"/>
      <w:lvlJc w:val="left"/>
      <w:pPr>
        <w:tabs>
          <w:tab w:val="num" w:pos="3600"/>
        </w:tabs>
        <w:ind w:left="3600" w:hanging="360"/>
      </w:pPr>
      <w:rPr>
        <w:rFonts w:ascii="Arial" w:hAnsi="Arial" w:hint="default"/>
      </w:rPr>
    </w:lvl>
    <w:lvl w:ilvl="5" w:tplc="15047942" w:tentative="1">
      <w:start w:val="1"/>
      <w:numFmt w:val="bullet"/>
      <w:lvlText w:val="–"/>
      <w:lvlJc w:val="left"/>
      <w:pPr>
        <w:tabs>
          <w:tab w:val="num" w:pos="4320"/>
        </w:tabs>
        <w:ind w:left="4320" w:hanging="360"/>
      </w:pPr>
      <w:rPr>
        <w:rFonts w:ascii="Arial" w:hAnsi="Arial" w:hint="default"/>
      </w:rPr>
    </w:lvl>
    <w:lvl w:ilvl="6" w:tplc="427A94A2" w:tentative="1">
      <w:start w:val="1"/>
      <w:numFmt w:val="bullet"/>
      <w:lvlText w:val="–"/>
      <w:lvlJc w:val="left"/>
      <w:pPr>
        <w:tabs>
          <w:tab w:val="num" w:pos="5040"/>
        </w:tabs>
        <w:ind w:left="5040" w:hanging="360"/>
      </w:pPr>
      <w:rPr>
        <w:rFonts w:ascii="Arial" w:hAnsi="Arial" w:hint="default"/>
      </w:rPr>
    </w:lvl>
    <w:lvl w:ilvl="7" w:tplc="78024F04" w:tentative="1">
      <w:start w:val="1"/>
      <w:numFmt w:val="bullet"/>
      <w:lvlText w:val="–"/>
      <w:lvlJc w:val="left"/>
      <w:pPr>
        <w:tabs>
          <w:tab w:val="num" w:pos="5760"/>
        </w:tabs>
        <w:ind w:left="5760" w:hanging="360"/>
      </w:pPr>
      <w:rPr>
        <w:rFonts w:ascii="Arial" w:hAnsi="Arial" w:hint="default"/>
      </w:rPr>
    </w:lvl>
    <w:lvl w:ilvl="8" w:tplc="9D6487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80491A"/>
    <w:multiLevelType w:val="hybridMultilevel"/>
    <w:tmpl w:val="799E1BD0"/>
    <w:lvl w:ilvl="0" w:tplc="7DC0CABA">
      <w:start w:val="1"/>
      <w:numFmt w:val="bullet"/>
      <w:lvlText w:val="•"/>
      <w:lvlJc w:val="left"/>
      <w:pPr>
        <w:tabs>
          <w:tab w:val="num" w:pos="720"/>
        </w:tabs>
        <w:ind w:left="720" w:hanging="360"/>
      </w:pPr>
      <w:rPr>
        <w:rFonts w:ascii="Arial" w:hAnsi="Arial" w:hint="default"/>
      </w:rPr>
    </w:lvl>
    <w:lvl w:ilvl="1" w:tplc="F830D54A">
      <w:numFmt w:val="bullet"/>
      <w:lvlText w:val="–"/>
      <w:lvlJc w:val="left"/>
      <w:pPr>
        <w:tabs>
          <w:tab w:val="num" w:pos="1440"/>
        </w:tabs>
        <w:ind w:left="1440" w:hanging="360"/>
      </w:pPr>
      <w:rPr>
        <w:rFonts w:ascii="Arial" w:hAnsi="Arial" w:hint="default"/>
      </w:rPr>
    </w:lvl>
    <w:lvl w:ilvl="2" w:tplc="25BAAE92" w:tentative="1">
      <w:start w:val="1"/>
      <w:numFmt w:val="bullet"/>
      <w:lvlText w:val="•"/>
      <w:lvlJc w:val="left"/>
      <w:pPr>
        <w:tabs>
          <w:tab w:val="num" w:pos="2160"/>
        </w:tabs>
        <w:ind w:left="2160" w:hanging="360"/>
      </w:pPr>
      <w:rPr>
        <w:rFonts w:ascii="Arial" w:hAnsi="Arial" w:hint="default"/>
      </w:rPr>
    </w:lvl>
    <w:lvl w:ilvl="3" w:tplc="B76408B0" w:tentative="1">
      <w:start w:val="1"/>
      <w:numFmt w:val="bullet"/>
      <w:lvlText w:val="•"/>
      <w:lvlJc w:val="left"/>
      <w:pPr>
        <w:tabs>
          <w:tab w:val="num" w:pos="2880"/>
        </w:tabs>
        <w:ind w:left="2880" w:hanging="360"/>
      </w:pPr>
      <w:rPr>
        <w:rFonts w:ascii="Arial" w:hAnsi="Arial" w:hint="default"/>
      </w:rPr>
    </w:lvl>
    <w:lvl w:ilvl="4" w:tplc="B9627E8C" w:tentative="1">
      <w:start w:val="1"/>
      <w:numFmt w:val="bullet"/>
      <w:lvlText w:val="•"/>
      <w:lvlJc w:val="left"/>
      <w:pPr>
        <w:tabs>
          <w:tab w:val="num" w:pos="3600"/>
        </w:tabs>
        <w:ind w:left="3600" w:hanging="360"/>
      </w:pPr>
      <w:rPr>
        <w:rFonts w:ascii="Arial" w:hAnsi="Arial" w:hint="default"/>
      </w:rPr>
    </w:lvl>
    <w:lvl w:ilvl="5" w:tplc="5382F9C0" w:tentative="1">
      <w:start w:val="1"/>
      <w:numFmt w:val="bullet"/>
      <w:lvlText w:val="•"/>
      <w:lvlJc w:val="left"/>
      <w:pPr>
        <w:tabs>
          <w:tab w:val="num" w:pos="4320"/>
        </w:tabs>
        <w:ind w:left="4320" w:hanging="360"/>
      </w:pPr>
      <w:rPr>
        <w:rFonts w:ascii="Arial" w:hAnsi="Arial" w:hint="default"/>
      </w:rPr>
    </w:lvl>
    <w:lvl w:ilvl="6" w:tplc="0804CCFC" w:tentative="1">
      <w:start w:val="1"/>
      <w:numFmt w:val="bullet"/>
      <w:lvlText w:val="•"/>
      <w:lvlJc w:val="left"/>
      <w:pPr>
        <w:tabs>
          <w:tab w:val="num" w:pos="5040"/>
        </w:tabs>
        <w:ind w:left="5040" w:hanging="360"/>
      </w:pPr>
      <w:rPr>
        <w:rFonts w:ascii="Arial" w:hAnsi="Arial" w:hint="default"/>
      </w:rPr>
    </w:lvl>
    <w:lvl w:ilvl="7" w:tplc="56AC9A16" w:tentative="1">
      <w:start w:val="1"/>
      <w:numFmt w:val="bullet"/>
      <w:lvlText w:val="•"/>
      <w:lvlJc w:val="left"/>
      <w:pPr>
        <w:tabs>
          <w:tab w:val="num" w:pos="5760"/>
        </w:tabs>
        <w:ind w:left="5760" w:hanging="360"/>
      </w:pPr>
      <w:rPr>
        <w:rFonts w:ascii="Arial" w:hAnsi="Arial" w:hint="default"/>
      </w:rPr>
    </w:lvl>
    <w:lvl w:ilvl="8" w:tplc="CAD02A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020FE8"/>
    <w:multiLevelType w:val="hybridMultilevel"/>
    <w:tmpl w:val="B1DCB1E4"/>
    <w:lvl w:ilvl="0" w:tplc="11765B84">
      <w:start w:val="1"/>
      <w:numFmt w:val="bullet"/>
      <w:lvlText w:val="•"/>
      <w:lvlJc w:val="left"/>
      <w:pPr>
        <w:tabs>
          <w:tab w:val="num" w:pos="360"/>
        </w:tabs>
        <w:ind w:left="360" w:hanging="360"/>
      </w:pPr>
      <w:rPr>
        <w:rFonts w:ascii="Arial" w:hAnsi="Arial" w:hint="default"/>
      </w:rPr>
    </w:lvl>
    <w:lvl w:ilvl="1" w:tplc="3F261504">
      <w:numFmt w:val="bullet"/>
      <w:lvlText w:val="–"/>
      <w:lvlJc w:val="left"/>
      <w:pPr>
        <w:tabs>
          <w:tab w:val="num" w:pos="1080"/>
        </w:tabs>
        <w:ind w:left="1080" w:hanging="360"/>
      </w:pPr>
      <w:rPr>
        <w:rFonts w:ascii="Arial" w:hAnsi="Arial" w:hint="default"/>
      </w:rPr>
    </w:lvl>
    <w:lvl w:ilvl="2" w:tplc="960CB84A" w:tentative="1">
      <w:start w:val="1"/>
      <w:numFmt w:val="bullet"/>
      <w:lvlText w:val="•"/>
      <w:lvlJc w:val="left"/>
      <w:pPr>
        <w:tabs>
          <w:tab w:val="num" w:pos="1800"/>
        </w:tabs>
        <w:ind w:left="1800" w:hanging="360"/>
      </w:pPr>
      <w:rPr>
        <w:rFonts w:ascii="Arial" w:hAnsi="Arial" w:hint="default"/>
      </w:rPr>
    </w:lvl>
    <w:lvl w:ilvl="3" w:tplc="A5E4B1DA" w:tentative="1">
      <w:start w:val="1"/>
      <w:numFmt w:val="bullet"/>
      <w:lvlText w:val="•"/>
      <w:lvlJc w:val="left"/>
      <w:pPr>
        <w:tabs>
          <w:tab w:val="num" w:pos="2520"/>
        </w:tabs>
        <w:ind w:left="2520" w:hanging="360"/>
      </w:pPr>
      <w:rPr>
        <w:rFonts w:ascii="Arial" w:hAnsi="Arial" w:hint="default"/>
      </w:rPr>
    </w:lvl>
    <w:lvl w:ilvl="4" w:tplc="AD6EE99A" w:tentative="1">
      <w:start w:val="1"/>
      <w:numFmt w:val="bullet"/>
      <w:lvlText w:val="•"/>
      <w:lvlJc w:val="left"/>
      <w:pPr>
        <w:tabs>
          <w:tab w:val="num" w:pos="3240"/>
        </w:tabs>
        <w:ind w:left="3240" w:hanging="360"/>
      </w:pPr>
      <w:rPr>
        <w:rFonts w:ascii="Arial" w:hAnsi="Arial" w:hint="default"/>
      </w:rPr>
    </w:lvl>
    <w:lvl w:ilvl="5" w:tplc="4E1E676E" w:tentative="1">
      <w:start w:val="1"/>
      <w:numFmt w:val="bullet"/>
      <w:lvlText w:val="•"/>
      <w:lvlJc w:val="left"/>
      <w:pPr>
        <w:tabs>
          <w:tab w:val="num" w:pos="3960"/>
        </w:tabs>
        <w:ind w:left="3960" w:hanging="360"/>
      </w:pPr>
      <w:rPr>
        <w:rFonts w:ascii="Arial" w:hAnsi="Arial" w:hint="default"/>
      </w:rPr>
    </w:lvl>
    <w:lvl w:ilvl="6" w:tplc="451E0FBC" w:tentative="1">
      <w:start w:val="1"/>
      <w:numFmt w:val="bullet"/>
      <w:lvlText w:val="•"/>
      <w:lvlJc w:val="left"/>
      <w:pPr>
        <w:tabs>
          <w:tab w:val="num" w:pos="4680"/>
        </w:tabs>
        <w:ind w:left="4680" w:hanging="360"/>
      </w:pPr>
      <w:rPr>
        <w:rFonts w:ascii="Arial" w:hAnsi="Arial" w:hint="default"/>
      </w:rPr>
    </w:lvl>
    <w:lvl w:ilvl="7" w:tplc="1A88256C" w:tentative="1">
      <w:start w:val="1"/>
      <w:numFmt w:val="bullet"/>
      <w:lvlText w:val="•"/>
      <w:lvlJc w:val="left"/>
      <w:pPr>
        <w:tabs>
          <w:tab w:val="num" w:pos="5400"/>
        </w:tabs>
        <w:ind w:left="5400" w:hanging="360"/>
      </w:pPr>
      <w:rPr>
        <w:rFonts w:ascii="Arial" w:hAnsi="Arial" w:hint="default"/>
      </w:rPr>
    </w:lvl>
    <w:lvl w:ilvl="8" w:tplc="FEC8F8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B7C3F11"/>
    <w:multiLevelType w:val="hybridMultilevel"/>
    <w:tmpl w:val="5630E8CC"/>
    <w:lvl w:ilvl="0" w:tplc="62B2B942">
      <w:start w:val="1"/>
      <w:numFmt w:val="bullet"/>
      <w:lvlText w:val="–"/>
      <w:lvlJc w:val="left"/>
      <w:pPr>
        <w:tabs>
          <w:tab w:val="num" w:pos="720"/>
        </w:tabs>
        <w:ind w:left="720" w:hanging="360"/>
      </w:pPr>
      <w:rPr>
        <w:rFonts w:ascii="Arial" w:hAnsi="Arial" w:hint="default"/>
      </w:rPr>
    </w:lvl>
    <w:lvl w:ilvl="1" w:tplc="BDD41666">
      <w:start w:val="1"/>
      <w:numFmt w:val="bullet"/>
      <w:lvlText w:val="–"/>
      <w:lvlJc w:val="left"/>
      <w:pPr>
        <w:tabs>
          <w:tab w:val="num" w:pos="1440"/>
        </w:tabs>
        <w:ind w:left="1440" w:hanging="360"/>
      </w:pPr>
      <w:rPr>
        <w:rFonts w:ascii="Arial" w:hAnsi="Arial" w:hint="default"/>
      </w:rPr>
    </w:lvl>
    <w:lvl w:ilvl="2" w:tplc="B36CBB8C" w:tentative="1">
      <w:start w:val="1"/>
      <w:numFmt w:val="bullet"/>
      <w:lvlText w:val="–"/>
      <w:lvlJc w:val="left"/>
      <w:pPr>
        <w:tabs>
          <w:tab w:val="num" w:pos="2160"/>
        </w:tabs>
        <w:ind w:left="2160" w:hanging="360"/>
      </w:pPr>
      <w:rPr>
        <w:rFonts w:ascii="Arial" w:hAnsi="Arial" w:hint="default"/>
      </w:rPr>
    </w:lvl>
    <w:lvl w:ilvl="3" w:tplc="7B70F5C8" w:tentative="1">
      <w:start w:val="1"/>
      <w:numFmt w:val="bullet"/>
      <w:lvlText w:val="–"/>
      <w:lvlJc w:val="left"/>
      <w:pPr>
        <w:tabs>
          <w:tab w:val="num" w:pos="2880"/>
        </w:tabs>
        <w:ind w:left="2880" w:hanging="360"/>
      </w:pPr>
      <w:rPr>
        <w:rFonts w:ascii="Arial" w:hAnsi="Arial" w:hint="default"/>
      </w:rPr>
    </w:lvl>
    <w:lvl w:ilvl="4" w:tplc="8AFA4310" w:tentative="1">
      <w:start w:val="1"/>
      <w:numFmt w:val="bullet"/>
      <w:lvlText w:val="–"/>
      <w:lvlJc w:val="left"/>
      <w:pPr>
        <w:tabs>
          <w:tab w:val="num" w:pos="3600"/>
        </w:tabs>
        <w:ind w:left="3600" w:hanging="360"/>
      </w:pPr>
      <w:rPr>
        <w:rFonts w:ascii="Arial" w:hAnsi="Arial" w:hint="default"/>
      </w:rPr>
    </w:lvl>
    <w:lvl w:ilvl="5" w:tplc="384C3730" w:tentative="1">
      <w:start w:val="1"/>
      <w:numFmt w:val="bullet"/>
      <w:lvlText w:val="–"/>
      <w:lvlJc w:val="left"/>
      <w:pPr>
        <w:tabs>
          <w:tab w:val="num" w:pos="4320"/>
        </w:tabs>
        <w:ind w:left="4320" w:hanging="360"/>
      </w:pPr>
      <w:rPr>
        <w:rFonts w:ascii="Arial" w:hAnsi="Arial" w:hint="default"/>
      </w:rPr>
    </w:lvl>
    <w:lvl w:ilvl="6" w:tplc="915E6EDA" w:tentative="1">
      <w:start w:val="1"/>
      <w:numFmt w:val="bullet"/>
      <w:lvlText w:val="–"/>
      <w:lvlJc w:val="left"/>
      <w:pPr>
        <w:tabs>
          <w:tab w:val="num" w:pos="5040"/>
        </w:tabs>
        <w:ind w:left="5040" w:hanging="360"/>
      </w:pPr>
      <w:rPr>
        <w:rFonts w:ascii="Arial" w:hAnsi="Arial" w:hint="default"/>
      </w:rPr>
    </w:lvl>
    <w:lvl w:ilvl="7" w:tplc="35602D84" w:tentative="1">
      <w:start w:val="1"/>
      <w:numFmt w:val="bullet"/>
      <w:lvlText w:val="–"/>
      <w:lvlJc w:val="left"/>
      <w:pPr>
        <w:tabs>
          <w:tab w:val="num" w:pos="5760"/>
        </w:tabs>
        <w:ind w:left="5760" w:hanging="360"/>
      </w:pPr>
      <w:rPr>
        <w:rFonts w:ascii="Arial" w:hAnsi="Arial" w:hint="default"/>
      </w:rPr>
    </w:lvl>
    <w:lvl w:ilvl="8" w:tplc="9DDC6C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C36437"/>
    <w:multiLevelType w:val="hybridMultilevel"/>
    <w:tmpl w:val="B1128C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20B64FF"/>
    <w:multiLevelType w:val="hybridMultilevel"/>
    <w:tmpl w:val="A5FE88A4"/>
    <w:lvl w:ilvl="0" w:tplc="A210E1CE">
      <w:start w:val="1"/>
      <w:numFmt w:val="bullet"/>
      <w:lvlText w:val="•"/>
      <w:lvlJc w:val="left"/>
      <w:pPr>
        <w:tabs>
          <w:tab w:val="num" w:pos="720"/>
        </w:tabs>
        <w:ind w:left="720" w:hanging="360"/>
      </w:pPr>
      <w:rPr>
        <w:rFonts w:ascii="Arial" w:hAnsi="Arial" w:hint="default"/>
      </w:rPr>
    </w:lvl>
    <w:lvl w:ilvl="1" w:tplc="1E202376">
      <w:numFmt w:val="bullet"/>
      <w:lvlText w:val="–"/>
      <w:lvlJc w:val="left"/>
      <w:pPr>
        <w:tabs>
          <w:tab w:val="num" w:pos="1440"/>
        </w:tabs>
        <w:ind w:left="1440" w:hanging="360"/>
      </w:pPr>
      <w:rPr>
        <w:rFonts w:ascii="Arial" w:hAnsi="Arial" w:hint="default"/>
      </w:rPr>
    </w:lvl>
    <w:lvl w:ilvl="2" w:tplc="B7D051C0">
      <w:numFmt w:val="bullet"/>
      <w:lvlText w:val="•"/>
      <w:lvlJc w:val="left"/>
      <w:pPr>
        <w:tabs>
          <w:tab w:val="num" w:pos="2160"/>
        </w:tabs>
        <w:ind w:left="2160" w:hanging="360"/>
      </w:pPr>
      <w:rPr>
        <w:rFonts w:ascii="Arial" w:hAnsi="Arial" w:hint="default"/>
      </w:rPr>
    </w:lvl>
    <w:lvl w:ilvl="3" w:tplc="9B38486A" w:tentative="1">
      <w:start w:val="1"/>
      <w:numFmt w:val="bullet"/>
      <w:lvlText w:val="•"/>
      <w:lvlJc w:val="left"/>
      <w:pPr>
        <w:tabs>
          <w:tab w:val="num" w:pos="2880"/>
        </w:tabs>
        <w:ind w:left="2880" w:hanging="360"/>
      </w:pPr>
      <w:rPr>
        <w:rFonts w:ascii="Arial" w:hAnsi="Arial" w:hint="default"/>
      </w:rPr>
    </w:lvl>
    <w:lvl w:ilvl="4" w:tplc="828EFF0C" w:tentative="1">
      <w:start w:val="1"/>
      <w:numFmt w:val="bullet"/>
      <w:lvlText w:val="•"/>
      <w:lvlJc w:val="left"/>
      <w:pPr>
        <w:tabs>
          <w:tab w:val="num" w:pos="3600"/>
        </w:tabs>
        <w:ind w:left="3600" w:hanging="360"/>
      </w:pPr>
      <w:rPr>
        <w:rFonts w:ascii="Arial" w:hAnsi="Arial" w:hint="default"/>
      </w:rPr>
    </w:lvl>
    <w:lvl w:ilvl="5" w:tplc="1900732E" w:tentative="1">
      <w:start w:val="1"/>
      <w:numFmt w:val="bullet"/>
      <w:lvlText w:val="•"/>
      <w:lvlJc w:val="left"/>
      <w:pPr>
        <w:tabs>
          <w:tab w:val="num" w:pos="4320"/>
        </w:tabs>
        <w:ind w:left="4320" w:hanging="360"/>
      </w:pPr>
      <w:rPr>
        <w:rFonts w:ascii="Arial" w:hAnsi="Arial" w:hint="default"/>
      </w:rPr>
    </w:lvl>
    <w:lvl w:ilvl="6" w:tplc="48BA5F90" w:tentative="1">
      <w:start w:val="1"/>
      <w:numFmt w:val="bullet"/>
      <w:lvlText w:val="•"/>
      <w:lvlJc w:val="left"/>
      <w:pPr>
        <w:tabs>
          <w:tab w:val="num" w:pos="5040"/>
        </w:tabs>
        <w:ind w:left="5040" w:hanging="360"/>
      </w:pPr>
      <w:rPr>
        <w:rFonts w:ascii="Arial" w:hAnsi="Arial" w:hint="default"/>
      </w:rPr>
    </w:lvl>
    <w:lvl w:ilvl="7" w:tplc="6F1AA71C" w:tentative="1">
      <w:start w:val="1"/>
      <w:numFmt w:val="bullet"/>
      <w:lvlText w:val="•"/>
      <w:lvlJc w:val="left"/>
      <w:pPr>
        <w:tabs>
          <w:tab w:val="num" w:pos="5760"/>
        </w:tabs>
        <w:ind w:left="5760" w:hanging="360"/>
      </w:pPr>
      <w:rPr>
        <w:rFonts w:ascii="Arial" w:hAnsi="Arial" w:hint="default"/>
      </w:rPr>
    </w:lvl>
    <w:lvl w:ilvl="8" w:tplc="4AC869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720CC3"/>
    <w:multiLevelType w:val="hybridMultilevel"/>
    <w:tmpl w:val="A3D80088"/>
    <w:lvl w:ilvl="0" w:tplc="AE8A62EA">
      <w:start w:val="1"/>
      <w:numFmt w:val="bullet"/>
      <w:lvlText w:val="•"/>
      <w:lvlJc w:val="left"/>
      <w:pPr>
        <w:tabs>
          <w:tab w:val="num" w:pos="360"/>
        </w:tabs>
        <w:ind w:left="360" w:hanging="360"/>
      </w:pPr>
      <w:rPr>
        <w:rFonts w:ascii="Arial" w:hAnsi="Arial" w:hint="default"/>
      </w:rPr>
    </w:lvl>
    <w:lvl w:ilvl="1" w:tplc="408474C8">
      <w:numFmt w:val="bullet"/>
      <w:lvlText w:val="–"/>
      <w:lvlJc w:val="left"/>
      <w:pPr>
        <w:tabs>
          <w:tab w:val="num" w:pos="1080"/>
        </w:tabs>
        <w:ind w:left="1080" w:hanging="360"/>
      </w:pPr>
      <w:rPr>
        <w:rFonts w:ascii="Arial" w:hAnsi="Arial" w:hint="default"/>
      </w:rPr>
    </w:lvl>
    <w:lvl w:ilvl="2" w:tplc="8E5ABFB4">
      <w:numFmt w:val="bullet"/>
      <w:lvlText w:val="•"/>
      <w:lvlJc w:val="left"/>
      <w:pPr>
        <w:tabs>
          <w:tab w:val="num" w:pos="1800"/>
        </w:tabs>
        <w:ind w:left="1800" w:hanging="360"/>
      </w:pPr>
      <w:rPr>
        <w:rFonts w:ascii="Arial" w:hAnsi="Arial" w:hint="default"/>
      </w:rPr>
    </w:lvl>
    <w:lvl w:ilvl="3" w:tplc="E2B4D266" w:tentative="1">
      <w:start w:val="1"/>
      <w:numFmt w:val="bullet"/>
      <w:lvlText w:val="•"/>
      <w:lvlJc w:val="left"/>
      <w:pPr>
        <w:tabs>
          <w:tab w:val="num" w:pos="2520"/>
        </w:tabs>
        <w:ind w:left="2520" w:hanging="360"/>
      </w:pPr>
      <w:rPr>
        <w:rFonts w:ascii="Arial" w:hAnsi="Arial" w:hint="default"/>
      </w:rPr>
    </w:lvl>
    <w:lvl w:ilvl="4" w:tplc="3B64F3FA" w:tentative="1">
      <w:start w:val="1"/>
      <w:numFmt w:val="bullet"/>
      <w:lvlText w:val="•"/>
      <w:lvlJc w:val="left"/>
      <w:pPr>
        <w:tabs>
          <w:tab w:val="num" w:pos="3240"/>
        </w:tabs>
        <w:ind w:left="3240" w:hanging="360"/>
      </w:pPr>
      <w:rPr>
        <w:rFonts w:ascii="Arial" w:hAnsi="Arial" w:hint="default"/>
      </w:rPr>
    </w:lvl>
    <w:lvl w:ilvl="5" w:tplc="7A5A45CA" w:tentative="1">
      <w:start w:val="1"/>
      <w:numFmt w:val="bullet"/>
      <w:lvlText w:val="•"/>
      <w:lvlJc w:val="left"/>
      <w:pPr>
        <w:tabs>
          <w:tab w:val="num" w:pos="3960"/>
        </w:tabs>
        <w:ind w:left="3960" w:hanging="360"/>
      </w:pPr>
      <w:rPr>
        <w:rFonts w:ascii="Arial" w:hAnsi="Arial" w:hint="default"/>
      </w:rPr>
    </w:lvl>
    <w:lvl w:ilvl="6" w:tplc="E8827EA0" w:tentative="1">
      <w:start w:val="1"/>
      <w:numFmt w:val="bullet"/>
      <w:lvlText w:val="•"/>
      <w:lvlJc w:val="left"/>
      <w:pPr>
        <w:tabs>
          <w:tab w:val="num" w:pos="4680"/>
        </w:tabs>
        <w:ind w:left="4680" w:hanging="360"/>
      </w:pPr>
      <w:rPr>
        <w:rFonts w:ascii="Arial" w:hAnsi="Arial" w:hint="default"/>
      </w:rPr>
    </w:lvl>
    <w:lvl w:ilvl="7" w:tplc="6890C120" w:tentative="1">
      <w:start w:val="1"/>
      <w:numFmt w:val="bullet"/>
      <w:lvlText w:val="•"/>
      <w:lvlJc w:val="left"/>
      <w:pPr>
        <w:tabs>
          <w:tab w:val="num" w:pos="5400"/>
        </w:tabs>
        <w:ind w:left="5400" w:hanging="360"/>
      </w:pPr>
      <w:rPr>
        <w:rFonts w:ascii="Arial" w:hAnsi="Arial" w:hint="default"/>
      </w:rPr>
    </w:lvl>
    <w:lvl w:ilvl="8" w:tplc="9B0C885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C731316"/>
    <w:multiLevelType w:val="hybridMultilevel"/>
    <w:tmpl w:val="DB68A706"/>
    <w:lvl w:ilvl="0" w:tplc="10C6C7D4">
      <w:start w:val="1"/>
      <w:numFmt w:val="bullet"/>
      <w:lvlText w:val="–"/>
      <w:lvlJc w:val="left"/>
      <w:pPr>
        <w:tabs>
          <w:tab w:val="num" w:pos="720"/>
        </w:tabs>
        <w:ind w:left="720" w:hanging="360"/>
      </w:pPr>
      <w:rPr>
        <w:rFonts w:ascii="Arial" w:hAnsi="Arial" w:hint="default"/>
      </w:rPr>
    </w:lvl>
    <w:lvl w:ilvl="1" w:tplc="C758EEBC">
      <w:start w:val="1"/>
      <w:numFmt w:val="bullet"/>
      <w:lvlText w:val="–"/>
      <w:lvlJc w:val="left"/>
      <w:pPr>
        <w:tabs>
          <w:tab w:val="num" w:pos="1440"/>
        </w:tabs>
        <w:ind w:left="1440" w:hanging="360"/>
      </w:pPr>
      <w:rPr>
        <w:rFonts w:ascii="Arial" w:hAnsi="Arial" w:hint="default"/>
      </w:rPr>
    </w:lvl>
    <w:lvl w:ilvl="2" w:tplc="3B242F6E">
      <w:numFmt w:val="bullet"/>
      <w:lvlText w:val="•"/>
      <w:lvlJc w:val="left"/>
      <w:pPr>
        <w:tabs>
          <w:tab w:val="num" w:pos="2160"/>
        </w:tabs>
        <w:ind w:left="2160" w:hanging="360"/>
      </w:pPr>
      <w:rPr>
        <w:rFonts w:ascii="Arial" w:hAnsi="Arial" w:hint="default"/>
      </w:rPr>
    </w:lvl>
    <w:lvl w:ilvl="3" w:tplc="E54E7E60">
      <w:start w:val="1"/>
      <w:numFmt w:val="bullet"/>
      <w:lvlText w:val="–"/>
      <w:lvlJc w:val="left"/>
      <w:pPr>
        <w:tabs>
          <w:tab w:val="num" w:pos="2880"/>
        </w:tabs>
        <w:ind w:left="2880" w:hanging="360"/>
      </w:pPr>
      <w:rPr>
        <w:rFonts w:ascii="Arial" w:hAnsi="Arial" w:hint="default"/>
      </w:rPr>
    </w:lvl>
    <w:lvl w:ilvl="4" w:tplc="97B473CC">
      <w:start w:val="1"/>
      <w:numFmt w:val="bullet"/>
      <w:lvlText w:val="–"/>
      <w:lvlJc w:val="left"/>
      <w:pPr>
        <w:tabs>
          <w:tab w:val="num" w:pos="3600"/>
        </w:tabs>
        <w:ind w:left="3600" w:hanging="360"/>
      </w:pPr>
      <w:rPr>
        <w:rFonts w:ascii="Arial" w:hAnsi="Arial" w:hint="default"/>
      </w:rPr>
    </w:lvl>
    <w:lvl w:ilvl="5" w:tplc="DF24EACE" w:tentative="1">
      <w:start w:val="1"/>
      <w:numFmt w:val="bullet"/>
      <w:lvlText w:val="–"/>
      <w:lvlJc w:val="left"/>
      <w:pPr>
        <w:tabs>
          <w:tab w:val="num" w:pos="4320"/>
        </w:tabs>
        <w:ind w:left="4320" w:hanging="360"/>
      </w:pPr>
      <w:rPr>
        <w:rFonts w:ascii="Arial" w:hAnsi="Arial" w:hint="default"/>
      </w:rPr>
    </w:lvl>
    <w:lvl w:ilvl="6" w:tplc="75604452" w:tentative="1">
      <w:start w:val="1"/>
      <w:numFmt w:val="bullet"/>
      <w:lvlText w:val="–"/>
      <w:lvlJc w:val="left"/>
      <w:pPr>
        <w:tabs>
          <w:tab w:val="num" w:pos="5040"/>
        </w:tabs>
        <w:ind w:left="5040" w:hanging="360"/>
      </w:pPr>
      <w:rPr>
        <w:rFonts w:ascii="Arial" w:hAnsi="Arial" w:hint="default"/>
      </w:rPr>
    </w:lvl>
    <w:lvl w:ilvl="7" w:tplc="4D24EC68" w:tentative="1">
      <w:start w:val="1"/>
      <w:numFmt w:val="bullet"/>
      <w:lvlText w:val="–"/>
      <w:lvlJc w:val="left"/>
      <w:pPr>
        <w:tabs>
          <w:tab w:val="num" w:pos="5760"/>
        </w:tabs>
        <w:ind w:left="5760" w:hanging="360"/>
      </w:pPr>
      <w:rPr>
        <w:rFonts w:ascii="Arial" w:hAnsi="Arial" w:hint="default"/>
      </w:rPr>
    </w:lvl>
    <w:lvl w:ilvl="8" w:tplc="14C068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0A2BB4"/>
    <w:multiLevelType w:val="hybridMultilevel"/>
    <w:tmpl w:val="B108F8F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E2F2789"/>
    <w:multiLevelType w:val="hybridMultilevel"/>
    <w:tmpl w:val="D26C3322"/>
    <w:lvl w:ilvl="0" w:tplc="F96AF812">
      <w:start w:val="1"/>
      <w:numFmt w:val="bullet"/>
      <w:lvlText w:val="–"/>
      <w:lvlJc w:val="left"/>
      <w:pPr>
        <w:tabs>
          <w:tab w:val="num" w:pos="720"/>
        </w:tabs>
        <w:ind w:left="720" w:hanging="360"/>
      </w:pPr>
      <w:rPr>
        <w:rFonts w:ascii="Arial" w:hAnsi="Arial" w:hint="default"/>
      </w:rPr>
    </w:lvl>
    <w:lvl w:ilvl="1" w:tplc="83EEE2AA">
      <w:start w:val="1"/>
      <w:numFmt w:val="bullet"/>
      <w:lvlText w:val="–"/>
      <w:lvlJc w:val="left"/>
      <w:pPr>
        <w:tabs>
          <w:tab w:val="num" w:pos="1440"/>
        </w:tabs>
        <w:ind w:left="1440" w:hanging="360"/>
      </w:pPr>
      <w:rPr>
        <w:rFonts w:ascii="Arial" w:hAnsi="Arial" w:hint="default"/>
      </w:rPr>
    </w:lvl>
    <w:lvl w:ilvl="2" w:tplc="57F85ACC">
      <w:numFmt w:val="bullet"/>
      <w:lvlText w:val="•"/>
      <w:lvlJc w:val="left"/>
      <w:pPr>
        <w:tabs>
          <w:tab w:val="num" w:pos="2160"/>
        </w:tabs>
        <w:ind w:left="2160" w:hanging="360"/>
      </w:pPr>
      <w:rPr>
        <w:rFonts w:ascii="Arial" w:hAnsi="Arial" w:hint="default"/>
      </w:rPr>
    </w:lvl>
    <w:lvl w:ilvl="3" w:tplc="B2700FD6" w:tentative="1">
      <w:start w:val="1"/>
      <w:numFmt w:val="bullet"/>
      <w:lvlText w:val="–"/>
      <w:lvlJc w:val="left"/>
      <w:pPr>
        <w:tabs>
          <w:tab w:val="num" w:pos="2880"/>
        </w:tabs>
        <w:ind w:left="2880" w:hanging="360"/>
      </w:pPr>
      <w:rPr>
        <w:rFonts w:ascii="Arial" w:hAnsi="Arial" w:hint="default"/>
      </w:rPr>
    </w:lvl>
    <w:lvl w:ilvl="4" w:tplc="024C9700" w:tentative="1">
      <w:start w:val="1"/>
      <w:numFmt w:val="bullet"/>
      <w:lvlText w:val="–"/>
      <w:lvlJc w:val="left"/>
      <w:pPr>
        <w:tabs>
          <w:tab w:val="num" w:pos="3600"/>
        </w:tabs>
        <w:ind w:left="3600" w:hanging="360"/>
      </w:pPr>
      <w:rPr>
        <w:rFonts w:ascii="Arial" w:hAnsi="Arial" w:hint="default"/>
      </w:rPr>
    </w:lvl>
    <w:lvl w:ilvl="5" w:tplc="85C6A560" w:tentative="1">
      <w:start w:val="1"/>
      <w:numFmt w:val="bullet"/>
      <w:lvlText w:val="–"/>
      <w:lvlJc w:val="left"/>
      <w:pPr>
        <w:tabs>
          <w:tab w:val="num" w:pos="4320"/>
        </w:tabs>
        <w:ind w:left="4320" w:hanging="360"/>
      </w:pPr>
      <w:rPr>
        <w:rFonts w:ascii="Arial" w:hAnsi="Arial" w:hint="default"/>
      </w:rPr>
    </w:lvl>
    <w:lvl w:ilvl="6" w:tplc="E5C07A04" w:tentative="1">
      <w:start w:val="1"/>
      <w:numFmt w:val="bullet"/>
      <w:lvlText w:val="–"/>
      <w:lvlJc w:val="left"/>
      <w:pPr>
        <w:tabs>
          <w:tab w:val="num" w:pos="5040"/>
        </w:tabs>
        <w:ind w:left="5040" w:hanging="360"/>
      </w:pPr>
      <w:rPr>
        <w:rFonts w:ascii="Arial" w:hAnsi="Arial" w:hint="default"/>
      </w:rPr>
    </w:lvl>
    <w:lvl w:ilvl="7" w:tplc="6386A932" w:tentative="1">
      <w:start w:val="1"/>
      <w:numFmt w:val="bullet"/>
      <w:lvlText w:val="–"/>
      <w:lvlJc w:val="left"/>
      <w:pPr>
        <w:tabs>
          <w:tab w:val="num" w:pos="5760"/>
        </w:tabs>
        <w:ind w:left="5760" w:hanging="360"/>
      </w:pPr>
      <w:rPr>
        <w:rFonts w:ascii="Arial" w:hAnsi="Arial" w:hint="default"/>
      </w:rPr>
    </w:lvl>
    <w:lvl w:ilvl="8" w:tplc="649AC7B4"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23"/>
  </w:num>
  <w:num w:numId="4">
    <w:abstractNumId w:val="7"/>
  </w:num>
  <w:num w:numId="5">
    <w:abstractNumId w:val="11"/>
  </w:num>
  <w:num w:numId="6">
    <w:abstractNumId w:val="15"/>
  </w:num>
  <w:num w:numId="7">
    <w:abstractNumId w:val="22"/>
  </w:num>
  <w:num w:numId="8">
    <w:abstractNumId w:val="24"/>
  </w:num>
  <w:num w:numId="9">
    <w:abstractNumId w:val="14"/>
  </w:num>
  <w:num w:numId="10">
    <w:abstractNumId w:val="9"/>
  </w:num>
  <w:num w:numId="11">
    <w:abstractNumId w:val="4"/>
  </w:num>
  <w:num w:numId="12">
    <w:abstractNumId w:val="3"/>
  </w:num>
  <w:num w:numId="13">
    <w:abstractNumId w:val="2"/>
  </w:num>
  <w:num w:numId="14">
    <w:abstractNumId w:val="17"/>
  </w:num>
  <w:num w:numId="15">
    <w:abstractNumId w:val="13"/>
  </w:num>
  <w:num w:numId="16">
    <w:abstractNumId w:val="12"/>
  </w:num>
  <w:num w:numId="17">
    <w:abstractNumId w:val="8"/>
  </w:num>
  <w:num w:numId="18">
    <w:abstractNumId w:val="16"/>
  </w:num>
  <w:num w:numId="19">
    <w:abstractNumId w:val="5"/>
  </w:num>
  <w:num w:numId="20">
    <w:abstractNumId w:val="20"/>
  </w:num>
  <w:num w:numId="21">
    <w:abstractNumId w:val="0"/>
  </w:num>
  <w:num w:numId="22">
    <w:abstractNumId w:val="19"/>
  </w:num>
  <w:num w:numId="23">
    <w:abstractNumId w:val="18"/>
  </w:num>
  <w:num w:numId="24">
    <w:abstractNumId w:val="6"/>
  </w:num>
  <w:num w:numId="2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763"/>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2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0D8"/>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BCF"/>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42E"/>
    <w:rsid w:val="0007651C"/>
    <w:rsid w:val="00076568"/>
    <w:rsid w:val="00076A74"/>
    <w:rsid w:val="00076E8D"/>
    <w:rsid w:val="00077633"/>
    <w:rsid w:val="00077D83"/>
    <w:rsid w:val="00077D87"/>
    <w:rsid w:val="00077FC5"/>
    <w:rsid w:val="00080306"/>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7E0"/>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47E"/>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397"/>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E0C"/>
    <w:rsid w:val="00121F50"/>
    <w:rsid w:val="00122084"/>
    <w:rsid w:val="001228E0"/>
    <w:rsid w:val="001234A9"/>
    <w:rsid w:val="00123F5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7AF"/>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2E3B"/>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0DDE"/>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BC"/>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183"/>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154"/>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00A"/>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022"/>
    <w:rsid w:val="002722F3"/>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3CA"/>
    <w:rsid w:val="002838B1"/>
    <w:rsid w:val="00283ED9"/>
    <w:rsid w:val="002842B7"/>
    <w:rsid w:val="00285522"/>
    <w:rsid w:val="00285A78"/>
    <w:rsid w:val="00285B5B"/>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943"/>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36B"/>
    <w:rsid w:val="002E3494"/>
    <w:rsid w:val="002E3A7D"/>
    <w:rsid w:val="002E3B44"/>
    <w:rsid w:val="002E43C0"/>
    <w:rsid w:val="002E4403"/>
    <w:rsid w:val="002E4571"/>
    <w:rsid w:val="002E4D02"/>
    <w:rsid w:val="002E554D"/>
    <w:rsid w:val="002E5E35"/>
    <w:rsid w:val="002E5EE3"/>
    <w:rsid w:val="002E65D0"/>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AF6"/>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584"/>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A3D"/>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5E"/>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90C"/>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4DB"/>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96"/>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365B"/>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1D3D"/>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64"/>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75B"/>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252"/>
    <w:rsid w:val="004B1379"/>
    <w:rsid w:val="004B18FE"/>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66A2"/>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2A8"/>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1BF"/>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07D44"/>
    <w:rsid w:val="006102EF"/>
    <w:rsid w:val="0061056F"/>
    <w:rsid w:val="006105BA"/>
    <w:rsid w:val="00610ED2"/>
    <w:rsid w:val="00611B37"/>
    <w:rsid w:val="006123E9"/>
    <w:rsid w:val="00612C8A"/>
    <w:rsid w:val="006132BB"/>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76F"/>
    <w:rsid w:val="00621F15"/>
    <w:rsid w:val="0062254D"/>
    <w:rsid w:val="0062259A"/>
    <w:rsid w:val="00623616"/>
    <w:rsid w:val="00623840"/>
    <w:rsid w:val="0062384B"/>
    <w:rsid w:val="00623BE4"/>
    <w:rsid w:val="00623CAF"/>
    <w:rsid w:val="006243EA"/>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141"/>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D73"/>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5C92"/>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14B"/>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404"/>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2CF8"/>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81E"/>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546"/>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1FED"/>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32C"/>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1ED1"/>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A8A"/>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57A4"/>
    <w:rsid w:val="008165F8"/>
    <w:rsid w:val="0081660F"/>
    <w:rsid w:val="00816B04"/>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A3F"/>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19D8"/>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9A1"/>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4D19"/>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9D"/>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27FD0"/>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4D51"/>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11"/>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69"/>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021"/>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65"/>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4FBE"/>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1E3"/>
    <w:rsid w:val="00A03C54"/>
    <w:rsid w:val="00A04862"/>
    <w:rsid w:val="00A048CC"/>
    <w:rsid w:val="00A04A89"/>
    <w:rsid w:val="00A04BF8"/>
    <w:rsid w:val="00A04D96"/>
    <w:rsid w:val="00A0510B"/>
    <w:rsid w:val="00A053EA"/>
    <w:rsid w:val="00A05A7E"/>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899"/>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3C8"/>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9B6"/>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1C6"/>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6DF"/>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3A3"/>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D36"/>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40E"/>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2E63"/>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2CF"/>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C96"/>
    <w:rsid w:val="00BD6E65"/>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530"/>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0A"/>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0F"/>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3EF"/>
    <w:rsid w:val="00C704A0"/>
    <w:rsid w:val="00C708C6"/>
    <w:rsid w:val="00C70DF8"/>
    <w:rsid w:val="00C70ED9"/>
    <w:rsid w:val="00C70F82"/>
    <w:rsid w:val="00C7110B"/>
    <w:rsid w:val="00C71477"/>
    <w:rsid w:val="00C714E9"/>
    <w:rsid w:val="00C714FA"/>
    <w:rsid w:val="00C71746"/>
    <w:rsid w:val="00C71AEA"/>
    <w:rsid w:val="00C71E6A"/>
    <w:rsid w:val="00C720E1"/>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B86"/>
    <w:rsid w:val="00CA2CC1"/>
    <w:rsid w:val="00CA311A"/>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70E"/>
    <w:rsid w:val="00CC5FBB"/>
    <w:rsid w:val="00CC61BF"/>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4E67"/>
    <w:rsid w:val="00CF5330"/>
    <w:rsid w:val="00CF535E"/>
    <w:rsid w:val="00CF5C90"/>
    <w:rsid w:val="00CF5FF0"/>
    <w:rsid w:val="00CF61D9"/>
    <w:rsid w:val="00CF6ACE"/>
    <w:rsid w:val="00CF754B"/>
    <w:rsid w:val="00CF7897"/>
    <w:rsid w:val="00CF7A19"/>
    <w:rsid w:val="00D00352"/>
    <w:rsid w:val="00D009C6"/>
    <w:rsid w:val="00D00AA3"/>
    <w:rsid w:val="00D00BFC"/>
    <w:rsid w:val="00D00E0A"/>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8C"/>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975"/>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A6C"/>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9B"/>
    <w:rsid w:val="00D803C4"/>
    <w:rsid w:val="00D80429"/>
    <w:rsid w:val="00D807C3"/>
    <w:rsid w:val="00D811D9"/>
    <w:rsid w:val="00D81FBD"/>
    <w:rsid w:val="00D8213C"/>
    <w:rsid w:val="00D8216A"/>
    <w:rsid w:val="00D822A7"/>
    <w:rsid w:val="00D82365"/>
    <w:rsid w:val="00D83587"/>
    <w:rsid w:val="00D83AF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5B4"/>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46A"/>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31A"/>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246"/>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4381"/>
    <w:rsid w:val="00EC4DEE"/>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C3D"/>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68"/>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008"/>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8F2"/>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5D3"/>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2972"/>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 w:type="character" w:customStyle="1" w:styleId="2Char">
    <w:name w:val="标题 2 Char"/>
    <w:basedOn w:val="a0"/>
    <w:link w:val="2"/>
    <w:rsid w:val="00B9640E"/>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3263">
      <w:bodyDiv w:val="1"/>
      <w:marLeft w:val="0"/>
      <w:marRight w:val="0"/>
      <w:marTop w:val="0"/>
      <w:marBottom w:val="0"/>
      <w:divBdr>
        <w:top w:val="none" w:sz="0" w:space="0" w:color="auto"/>
        <w:left w:val="none" w:sz="0" w:space="0" w:color="auto"/>
        <w:bottom w:val="none" w:sz="0" w:space="0" w:color="auto"/>
        <w:right w:val="none" w:sz="0" w:space="0" w:color="auto"/>
      </w:divBdr>
      <w:divsChild>
        <w:div w:id="202403038">
          <w:marLeft w:val="1166"/>
          <w:marRight w:val="0"/>
          <w:marTop w:val="65"/>
          <w:marBottom w:val="0"/>
          <w:divBdr>
            <w:top w:val="none" w:sz="0" w:space="0" w:color="auto"/>
            <w:left w:val="none" w:sz="0" w:space="0" w:color="auto"/>
            <w:bottom w:val="none" w:sz="0" w:space="0" w:color="auto"/>
            <w:right w:val="none" w:sz="0" w:space="0" w:color="auto"/>
          </w:divBdr>
        </w:div>
        <w:div w:id="515777748">
          <w:marLeft w:val="1166"/>
          <w:marRight w:val="0"/>
          <w:marTop w:val="65"/>
          <w:marBottom w:val="0"/>
          <w:divBdr>
            <w:top w:val="none" w:sz="0" w:space="0" w:color="auto"/>
            <w:left w:val="none" w:sz="0" w:space="0" w:color="auto"/>
            <w:bottom w:val="none" w:sz="0" w:space="0" w:color="auto"/>
            <w:right w:val="none" w:sz="0" w:space="0" w:color="auto"/>
          </w:divBdr>
        </w:div>
        <w:div w:id="373849123">
          <w:marLeft w:val="1166"/>
          <w:marRight w:val="0"/>
          <w:marTop w:val="65"/>
          <w:marBottom w:val="0"/>
          <w:divBdr>
            <w:top w:val="none" w:sz="0" w:space="0" w:color="auto"/>
            <w:left w:val="none" w:sz="0" w:space="0" w:color="auto"/>
            <w:bottom w:val="none" w:sz="0" w:space="0" w:color="auto"/>
            <w:right w:val="none" w:sz="0" w:space="0" w:color="auto"/>
          </w:divBdr>
        </w:div>
      </w:divsChild>
    </w:div>
    <w:div w:id="113058152">
      <w:bodyDiv w:val="1"/>
      <w:marLeft w:val="0"/>
      <w:marRight w:val="0"/>
      <w:marTop w:val="0"/>
      <w:marBottom w:val="0"/>
      <w:divBdr>
        <w:top w:val="none" w:sz="0" w:space="0" w:color="auto"/>
        <w:left w:val="none" w:sz="0" w:space="0" w:color="auto"/>
        <w:bottom w:val="none" w:sz="0" w:space="0" w:color="auto"/>
        <w:right w:val="none" w:sz="0" w:space="0" w:color="auto"/>
      </w:divBdr>
      <w:divsChild>
        <w:div w:id="462431070">
          <w:marLeft w:val="1166"/>
          <w:marRight w:val="0"/>
          <w:marTop w:val="65"/>
          <w:marBottom w:val="0"/>
          <w:divBdr>
            <w:top w:val="none" w:sz="0" w:space="0" w:color="auto"/>
            <w:left w:val="none" w:sz="0" w:space="0" w:color="auto"/>
            <w:bottom w:val="none" w:sz="0" w:space="0" w:color="auto"/>
            <w:right w:val="none" w:sz="0" w:space="0" w:color="auto"/>
          </w:divBdr>
        </w:div>
        <w:div w:id="1071584913">
          <w:marLeft w:val="1800"/>
          <w:marRight w:val="0"/>
          <w:marTop w:val="65"/>
          <w:marBottom w:val="0"/>
          <w:divBdr>
            <w:top w:val="none" w:sz="0" w:space="0" w:color="auto"/>
            <w:left w:val="none" w:sz="0" w:space="0" w:color="auto"/>
            <w:bottom w:val="none" w:sz="0" w:space="0" w:color="auto"/>
            <w:right w:val="none" w:sz="0" w:space="0" w:color="auto"/>
          </w:divBdr>
        </w:div>
        <w:div w:id="1338651788">
          <w:marLeft w:val="1800"/>
          <w:marRight w:val="0"/>
          <w:marTop w:val="65"/>
          <w:marBottom w:val="0"/>
          <w:divBdr>
            <w:top w:val="none" w:sz="0" w:space="0" w:color="auto"/>
            <w:left w:val="none" w:sz="0" w:space="0" w:color="auto"/>
            <w:bottom w:val="none" w:sz="0" w:space="0" w:color="auto"/>
            <w:right w:val="none" w:sz="0" w:space="0" w:color="auto"/>
          </w:divBdr>
        </w:div>
      </w:divsChild>
    </w:div>
    <w:div w:id="429082272">
      <w:bodyDiv w:val="1"/>
      <w:marLeft w:val="0"/>
      <w:marRight w:val="0"/>
      <w:marTop w:val="0"/>
      <w:marBottom w:val="0"/>
      <w:divBdr>
        <w:top w:val="none" w:sz="0" w:space="0" w:color="auto"/>
        <w:left w:val="none" w:sz="0" w:space="0" w:color="auto"/>
        <w:bottom w:val="none" w:sz="0" w:space="0" w:color="auto"/>
        <w:right w:val="none" w:sz="0" w:space="0" w:color="auto"/>
      </w:divBdr>
      <w:divsChild>
        <w:div w:id="290863726">
          <w:marLeft w:val="1166"/>
          <w:marRight w:val="0"/>
          <w:marTop w:val="72"/>
          <w:marBottom w:val="0"/>
          <w:divBdr>
            <w:top w:val="none" w:sz="0" w:space="0" w:color="auto"/>
            <w:left w:val="none" w:sz="0" w:space="0" w:color="auto"/>
            <w:bottom w:val="none" w:sz="0" w:space="0" w:color="auto"/>
            <w:right w:val="none" w:sz="0" w:space="0" w:color="auto"/>
          </w:divBdr>
        </w:div>
        <w:div w:id="684483817">
          <w:marLeft w:val="1166"/>
          <w:marRight w:val="0"/>
          <w:marTop w:val="72"/>
          <w:marBottom w:val="0"/>
          <w:divBdr>
            <w:top w:val="none" w:sz="0" w:space="0" w:color="auto"/>
            <w:left w:val="none" w:sz="0" w:space="0" w:color="auto"/>
            <w:bottom w:val="none" w:sz="0" w:space="0" w:color="auto"/>
            <w:right w:val="none" w:sz="0" w:space="0" w:color="auto"/>
          </w:divBdr>
        </w:div>
        <w:div w:id="31469185">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466700580">
      <w:bodyDiv w:val="1"/>
      <w:marLeft w:val="0"/>
      <w:marRight w:val="0"/>
      <w:marTop w:val="0"/>
      <w:marBottom w:val="0"/>
      <w:divBdr>
        <w:top w:val="none" w:sz="0" w:space="0" w:color="auto"/>
        <w:left w:val="none" w:sz="0" w:space="0" w:color="auto"/>
        <w:bottom w:val="none" w:sz="0" w:space="0" w:color="auto"/>
        <w:right w:val="none" w:sz="0" w:space="0" w:color="auto"/>
      </w:divBdr>
      <w:divsChild>
        <w:div w:id="388841655">
          <w:marLeft w:val="547"/>
          <w:marRight w:val="0"/>
          <w:marTop w:val="96"/>
          <w:marBottom w:val="0"/>
          <w:divBdr>
            <w:top w:val="none" w:sz="0" w:space="0" w:color="auto"/>
            <w:left w:val="none" w:sz="0" w:space="0" w:color="auto"/>
            <w:bottom w:val="none" w:sz="0" w:space="0" w:color="auto"/>
            <w:right w:val="none" w:sz="0" w:space="0" w:color="auto"/>
          </w:divBdr>
        </w:div>
        <w:div w:id="1933928107">
          <w:marLeft w:val="1166"/>
          <w:marRight w:val="0"/>
          <w:marTop w:val="86"/>
          <w:marBottom w:val="0"/>
          <w:divBdr>
            <w:top w:val="none" w:sz="0" w:space="0" w:color="auto"/>
            <w:left w:val="none" w:sz="0" w:space="0" w:color="auto"/>
            <w:bottom w:val="none" w:sz="0" w:space="0" w:color="auto"/>
            <w:right w:val="none" w:sz="0" w:space="0" w:color="auto"/>
          </w:divBdr>
        </w:div>
        <w:div w:id="623778033">
          <w:marLeft w:val="1166"/>
          <w:marRight w:val="0"/>
          <w:marTop w:val="86"/>
          <w:marBottom w:val="0"/>
          <w:divBdr>
            <w:top w:val="none" w:sz="0" w:space="0" w:color="auto"/>
            <w:left w:val="none" w:sz="0" w:space="0" w:color="auto"/>
            <w:bottom w:val="none" w:sz="0" w:space="0" w:color="auto"/>
            <w:right w:val="none" w:sz="0" w:space="0" w:color="auto"/>
          </w:divBdr>
        </w:div>
        <w:div w:id="1925651887">
          <w:marLeft w:val="1800"/>
          <w:marRight w:val="0"/>
          <w:marTop w:val="77"/>
          <w:marBottom w:val="0"/>
          <w:divBdr>
            <w:top w:val="none" w:sz="0" w:space="0" w:color="auto"/>
            <w:left w:val="none" w:sz="0" w:space="0" w:color="auto"/>
            <w:bottom w:val="none" w:sz="0" w:space="0" w:color="auto"/>
            <w:right w:val="none" w:sz="0" w:space="0" w:color="auto"/>
          </w:divBdr>
        </w:div>
        <w:div w:id="1827163559">
          <w:marLeft w:val="1800"/>
          <w:marRight w:val="0"/>
          <w:marTop w:val="77"/>
          <w:marBottom w:val="0"/>
          <w:divBdr>
            <w:top w:val="none" w:sz="0" w:space="0" w:color="auto"/>
            <w:left w:val="none" w:sz="0" w:space="0" w:color="auto"/>
            <w:bottom w:val="none" w:sz="0" w:space="0" w:color="auto"/>
            <w:right w:val="none" w:sz="0" w:space="0" w:color="auto"/>
          </w:divBdr>
        </w:div>
        <w:div w:id="1260875511">
          <w:marLeft w:val="1166"/>
          <w:marRight w:val="0"/>
          <w:marTop w:val="86"/>
          <w:marBottom w:val="0"/>
          <w:divBdr>
            <w:top w:val="none" w:sz="0" w:space="0" w:color="auto"/>
            <w:left w:val="none" w:sz="0" w:space="0" w:color="auto"/>
            <w:bottom w:val="none" w:sz="0" w:space="0" w:color="auto"/>
            <w:right w:val="none" w:sz="0" w:space="0" w:color="auto"/>
          </w:divBdr>
        </w:div>
      </w:divsChild>
    </w:div>
    <w:div w:id="666900541">
      <w:bodyDiv w:val="1"/>
      <w:marLeft w:val="0"/>
      <w:marRight w:val="0"/>
      <w:marTop w:val="0"/>
      <w:marBottom w:val="0"/>
      <w:divBdr>
        <w:top w:val="none" w:sz="0" w:space="0" w:color="auto"/>
        <w:left w:val="none" w:sz="0" w:space="0" w:color="auto"/>
        <w:bottom w:val="none" w:sz="0" w:space="0" w:color="auto"/>
        <w:right w:val="none" w:sz="0" w:space="0" w:color="auto"/>
      </w:divBdr>
      <w:divsChild>
        <w:div w:id="503741456">
          <w:marLeft w:val="1166"/>
          <w:marRight w:val="0"/>
          <w:marTop w:val="65"/>
          <w:marBottom w:val="0"/>
          <w:divBdr>
            <w:top w:val="none" w:sz="0" w:space="0" w:color="auto"/>
            <w:left w:val="none" w:sz="0" w:space="0" w:color="auto"/>
            <w:bottom w:val="none" w:sz="0" w:space="0" w:color="auto"/>
            <w:right w:val="none" w:sz="0" w:space="0" w:color="auto"/>
          </w:divBdr>
        </w:div>
        <w:div w:id="28377108">
          <w:marLeft w:val="1166"/>
          <w:marRight w:val="0"/>
          <w:marTop w:val="65"/>
          <w:marBottom w:val="0"/>
          <w:divBdr>
            <w:top w:val="none" w:sz="0" w:space="0" w:color="auto"/>
            <w:left w:val="none" w:sz="0" w:space="0" w:color="auto"/>
            <w:bottom w:val="none" w:sz="0" w:space="0" w:color="auto"/>
            <w:right w:val="none" w:sz="0" w:space="0" w:color="auto"/>
          </w:divBdr>
        </w:div>
        <w:div w:id="576521524">
          <w:marLeft w:val="1166"/>
          <w:marRight w:val="0"/>
          <w:marTop w:val="6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27344215">
      <w:bodyDiv w:val="1"/>
      <w:marLeft w:val="0"/>
      <w:marRight w:val="0"/>
      <w:marTop w:val="0"/>
      <w:marBottom w:val="0"/>
      <w:divBdr>
        <w:top w:val="none" w:sz="0" w:space="0" w:color="auto"/>
        <w:left w:val="none" w:sz="0" w:space="0" w:color="auto"/>
        <w:bottom w:val="none" w:sz="0" w:space="0" w:color="auto"/>
        <w:right w:val="none" w:sz="0" w:space="0" w:color="auto"/>
      </w:divBdr>
      <w:divsChild>
        <w:div w:id="573274519">
          <w:marLeft w:val="547"/>
          <w:marRight w:val="0"/>
          <w:marTop w:val="96"/>
          <w:marBottom w:val="0"/>
          <w:divBdr>
            <w:top w:val="none" w:sz="0" w:space="0" w:color="auto"/>
            <w:left w:val="none" w:sz="0" w:space="0" w:color="auto"/>
            <w:bottom w:val="none" w:sz="0" w:space="0" w:color="auto"/>
            <w:right w:val="none" w:sz="0" w:space="0" w:color="auto"/>
          </w:divBdr>
        </w:div>
        <w:div w:id="2076394450">
          <w:marLeft w:val="1166"/>
          <w:marRight w:val="0"/>
          <w:marTop w:val="86"/>
          <w:marBottom w:val="0"/>
          <w:divBdr>
            <w:top w:val="none" w:sz="0" w:space="0" w:color="auto"/>
            <w:left w:val="none" w:sz="0" w:space="0" w:color="auto"/>
            <w:bottom w:val="none" w:sz="0" w:space="0" w:color="auto"/>
            <w:right w:val="none" w:sz="0" w:space="0" w:color="auto"/>
          </w:divBdr>
        </w:div>
        <w:div w:id="628172210">
          <w:marLeft w:val="1166"/>
          <w:marRight w:val="0"/>
          <w:marTop w:val="86"/>
          <w:marBottom w:val="0"/>
          <w:divBdr>
            <w:top w:val="none" w:sz="0" w:space="0" w:color="auto"/>
            <w:left w:val="none" w:sz="0" w:space="0" w:color="auto"/>
            <w:bottom w:val="none" w:sz="0" w:space="0" w:color="auto"/>
            <w:right w:val="none" w:sz="0" w:space="0" w:color="auto"/>
          </w:divBdr>
        </w:div>
        <w:div w:id="661393096">
          <w:marLeft w:val="547"/>
          <w:marRight w:val="0"/>
          <w:marTop w:val="96"/>
          <w:marBottom w:val="0"/>
          <w:divBdr>
            <w:top w:val="none" w:sz="0" w:space="0" w:color="auto"/>
            <w:left w:val="none" w:sz="0" w:space="0" w:color="auto"/>
            <w:bottom w:val="none" w:sz="0" w:space="0" w:color="auto"/>
            <w:right w:val="none" w:sz="0" w:space="0" w:color="auto"/>
          </w:divBdr>
        </w:div>
        <w:div w:id="2052529963">
          <w:marLeft w:val="1166"/>
          <w:marRight w:val="0"/>
          <w:marTop w:val="86"/>
          <w:marBottom w:val="0"/>
          <w:divBdr>
            <w:top w:val="none" w:sz="0" w:space="0" w:color="auto"/>
            <w:left w:val="none" w:sz="0" w:space="0" w:color="auto"/>
            <w:bottom w:val="none" w:sz="0" w:space="0" w:color="auto"/>
            <w:right w:val="none" w:sz="0" w:space="0" w:color="auto"/>
          </w:divBdr>
        </w:div>
        <w:div w:id="27218714">
          <w:marLeft w:val="1166"/>
          <w:marRight w:val="0"/>
          <w:marTop w:val="86"/>
          <w:marBottom w:val="0"/>
          <w:divBdr>
            <w:top w:val="none" w:sz="0" w:space="0" w:color="auto"/>
            <w:left w:val="none" w:sz="0" w:space="0" w:color="auto"/>
            <w:bottom w:val="none" w:sz="0" w:space="0" w:color="auto"/>
            <w:right w:val="none" w:sz="0" w:space="0" w:color="auto"/>
          </w:divBdr>
        </w:div>
        <w:div w:id="1997683168">
          <w:marLeft w:val="547"/>
          <w:marRight w:val="0"/>
          <w:marTop w:val="96"/>
          <w:marBottom w:val="0"/>
          <w:divBdr>
            <w:top w:val="none" w:sz="0" w:space="0" w:color="auto"/>
            <w:left w:val="none" w:sz="0" w:space="0" w:color="auto"/>
            <w:bottom w:val="none" w:sz="0" w:space="0" w:color="auto"/>
            <w:right w:val="none" w:sz="0" w:space="0" w:color="auto"/>
          </w:divBdr>
        </w:div>
        <w:div w:id="1602568622">
          <w:marLeft w:val="1166"/>
          <w:marRight w:val="0"/>
          <w:marTop w:val="86"/>
          <w:marBottom w:val="0"/>
          <w:divBdr>
            <w:top w:val="none" w:sz="0" w:space="0" w:color="auto"/>
            <w:left w:val="none" w:sz="0" w:space="0" w:color="auto"/>
            <w:bottom w:val="none" w:sz="0" w:space="0" w:color="auto"/>
            <w:right w:val="none" w:sz="0" w:space="0" w:color="auto"/>
          </w:divBdr>
        </w:div>
        <w:div w:id="385953766">
          <w:marLeft w:val="1166"/>
          <w:marRight w:val="0"/>
          <w:marTop w:val="86"/>
          <w:marBottom w:val="0"/>
          <w:divBdr>
            <w:top w:val="none" w:sz="0" w:space="0" w:color="auto"/>
            <w:left w:val="none" w:sz="0" w:space="0" w:color="auto"/>
            <w:bottom w:val="none" w:sz="0" w:space="0" w:color="auto"/>
            <w:right w:val="none" w:sz="0" w:space="0" w:color="auto"/>
          </w:divBdr>
        </w:div>
        <w:div w:id="1589117872">
          <w:marLeft w:val="547"/>
          <w:marRight w:val="0"/>
          <w:marTop w:val="96"/>
          <w:marBottom w:val="0"/>
          <w:divBdr>
            <w:top w:val="none" w:sz="0" w:space="0" w:color="auto"/>
            <w:left w:val="none" w:sz="0" w:space="0" w:color="auto"/>
            <w:bottom w:val="none" w:sz="0" w:space="0" w:color="auto"/>
            <w:right w:val="none" w:sz="0" w:space="0" w:color="auto"/>
          </w:divBdr>
        </w:div>
        <w:div w:id="651718615">
          <w:marLeft w:val="1166"/>
          <w:marRight w:val="0"/>
          <w:marTop w:val="86"/>
          <w:marBottom w:val="0"/>
          <w:divBdr>
            <w:top w:val="none" w:sz="0" w:space="0" w:color="auto"/>
            <w:left w:val="none" w:sz="0" w:space="0" w:color="auto"/>
            <w:bottom w:val="none" w:sz="0" w:space="0" w:color="auto"/>
            <w:right w:val="none" w:sz="0" w:space="0" w:color="auto"/>
          </w:divBdr>
        </w:div>
        <w:div w:id="1776123597">
          <w:marLeft w:val="1166"/>
          <w:marRight w:val="0"/>
          <w:marTop w:val="86"/>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06094305">
      <w:bodyDiv w:val="1"/>
      <w:marLeft w:val="0"/>
      <w:marRight w:val="0"/>
      <w:marTop w:val="0"/>
      <w:marBottom w:val="0"/>
      <w:divBdr>
        <w:top w:val="none" w:sz="0" w:space="0" w:color="auto"/>
        <w:left w:val="none" w:sz="0" w:space="0" w:color="auto"/>
        <w:bottom w:val="none" w:sz="0" w:space="0" w:color="auto"/>
        <w:right w:val="none" w:sz="0" w:space="0" w:color="auto"/>
      </w:divBdr>
      <w:divsChild>
        <w:div w:id="1116484222">
          <w:marLeft w:val="547"/>
          <w:marRight w:val="0"/>
          <w:marTop w:val="96"/>
          <w:marBottom w:val="0"/>
          <w:divBdr>
            <w:top w:val="none" w:sz="0" w:space="0" w:color="auto"/>
            <w:left w:val="none" w:sz="0" w:space="0" w:color="auto"/>
            <w:bottom w:val="none" w:sz="0" w:space="0" w:color="auto"/>
            <w:right w:val="none" w:sz="0" w:space="0" w:color="auto"/>
          </w:divBdr>
        </w:div>
      </w:divsChild>
    </w:div>
    <w:div w:id="823397885">
      <w:bodyDiv w:val="1"/>
      <w:marLeft w:val="0"/>
      <w:marRight w:val="0"/>
      <w:marTop w:val="0"/>
      <w:marBottom w:val="0"/>
      <w:divBdr>
        <w:top w:val="none" w:sz="0" w:space="0" w:color="auto"/>
        <w:left w:val="none" w:sz="0" w:space="0" w:color="auto"/>
        <w:bottom w:val="none" w:sz="0" w:space="0" w:color="auto"/>
        <w:right w:val="none" w:sz="0" w:space="0" w:color="auto"/>
      </w:divBdr>
      <w:divsChild>
        <w:div w:id="661202358">
          <w:marLeft w:val="547"/>
          <w:marRight w:val="0"/>
          <w:marTop w:val="86"/>
          <w:marBottom w:val="0"/>
          <w:divBdr>
            <w:top w:val="none" w:sz="0" w:space="0" w:color="auto"/>
            <w:left w:val="none" w:sz="0" w:space="0" w:color="auto"/>
            <w:bottom w:val="none" w:sz="0" w:space="0" w:color="auto"/>
            <w:right w:val="none" w:sz="0" w:space="0" w:color="auto"/>
          </w:divBdr>
        </w:div>
        <w:div w:id="1339042014">
          <w:marLeft w:val="1166"/>
          <w:marRight w:val="0"/>
          <w:marTop w:val="67"/>
          <w:marBottom w:val="0"/>
          <w:divBdr>
            <w:top w:val="none" w:sz="0" w:space="0" w:color="auto"/>
            <w:left w:val="none" w:sz="0" w:space="0" w:color="auto"/>
            <w:bottom w:val="none" w:sz="0" w:space="0" w:color="auto"/>
            <w:right w:val="none" w:sz="0" w:space="0" w:color="auto"/>
          </w:divBdr>
        </w:div>
        <w:div w:id="1582568278">
          <w:marLeft w:val="1166"/>
          <w:marRight w:val="0"/>
          <w:marTop w:val="67"/>
          <w:marBottom w:val="0"/>
          <w:divBdr>
            <w:top w:val="none" w:sz="0" w:space="0" w:color="auto"/>
            <w:left w:val="none" w:sz="0" w:space="0" w:color="auto"/>
            <w:bottom w:val="none" w:sz="0" w:space="0" w:color="auto"/>
            <w:right w:val="none" w:sz="0" w:space="0" w:color="auto"/>
          </w:divBdr>
        </w:div>
        <w:div w:id="264508061">
          <w:marLeft w:val="1166"/>
          <w:marRight w:val="0"/>
          <w:marTop w:val="67"/>
          <w:marBottom w:val="0"/>
          <w:divBdr>
            <w:top w:val="none" w:sz="0" w:space="0" w:color="auto"/>
            <w:left w:val="none" w:sz="0" w:space="0" w:color="auto"/>
            <w:bottom w:val="none" w:sz="0" w:space="0" w:color="auto"/>
            <w:right w:val="none" w:sz="0" w:space="0" w:color="auto"/>
          </w:divBdr>
        </w:div>
        <w:div w:id="108427770">
          <w:marLeft w:val="547"/>
          <w:marRight w:val="0"/>
          <w:marTop w:val="86"/>
          <w:marBottom w:val="0"/>
          <w:divBdr>
            <w:top w:val="none" w:sz="0" w:space="0" w:color="auto"/>
            <w:left w:val="none" w:sz="0" w:space="0" w:color="auto"/>
            <w:bottom w:val="none" w:sz="0" w:space="0" w:color="auto"/>
            <w:right w:val="none" w:sz="0" w:space="0" w:color="auto"/>
          </w:divBdr>
        </w:div>
        <w:div w:id="1797065480">
          <w:marLeft w:val="1166"/>
          <w:marRight w:val="0"/>
          <w:marTop w:val="67"/>
          <w:marBottom w:val="0"/>
          <w:divBdr>
            <w:top w:val="none" w:sz="0" w:space="0" w:color="auto"/>
            <w:left w:val="none" w:sz="0" w:space="0" w:color="auto"/>
            <w:bottom w:val="none" w:sz="0" w:space="0" w:color="auto"/>
            <w:right w:val="none" w:sz="0" w:space="0" w:color="auto"/>
          </w:divBdr>
        </w:div>
        <w:div w:id="935595128">
          <w:marLeft w:val="1166"/>
          <w:marRight w:val="0"/>
          <w:marTop w:val="67"/>
          <w:marBottom w:val="0"/>
          <w:divBdr>
            <w:top w:val="none" w:sz="0" w:space="0" w:color="auto"/>
            <w:left w:val="none" w:sz="0" w:space="0" w:color="auto"/>
            <w:bottom w:val="none" w:sz="0" w:space="0" w:color="auto"/>
            <w:right w:val="none" w:sz="0" w:space="0" w:color="auto"/>
          </w:divBdr>
        </w:div>
        <w:div w:id="1549682924">
          <w:marLeft w:val="1166"/>
          <w:marRight w:val="0"/>
          <w:marTop w:val="67"/>
          <w:marBottom w:val="0"/>
          <w:divBdr>
            <w:top w:val="none" w:sz="0" w:space="0" w:color="auto"/>
            <w:left w:val="none" w:sz="0" w:space="0" w:color="auto"/>
            <w:bottom w:val="none" w:sz="0" w:space="0" w:color="auto"/>
            <w:right w:val="none" w:sz="0" w:space="0" w:color="auto"/>
          </w:divBdr>
        </w:div>
        <w:div w:id="893932924">
          <w:marLeft w:val="547"/>
          <w:marRight w:val="0"/>
          <w:marTop w:val="86"/>
          <w:marBottom w:val="0"/>
          <w:divBdr>
            <w:top w:val="none" w:sz="0" w:space="0" w:color="auto"/>
            <w:left w:val="none" w:sz="0" w:space="0" w:color="auto"/>
            <w:bottom w:val="none" w:sz="0" w:space="0" w:color="auto"/>
            <w:right w:val="none" w:sz="0" w:space="0" w:color="auto"/>
          </w:divBdr>
        </w:div>
        <w:div w:id="1798260556">
          <w:marLeft w:val="1166"/>
          <w:marRight w:val="0"/>
          <w:marTop w:val="67"/>
          <w:marBottom w:val="0"/>
          <w:divBdr>
            <w:top w:val="none" w:sz="0" w:space="0" w:color="auto"/>
            <w:left w:val="none" w:sz="0" w:space="0" w:color="auto"/>
            <w:bottom w:val="none" w:sz="0" w:space="0" w:color="auto"/>
            <w:right w:val="none" w:sz="0" w:space="0" w:color="auto"/>
          </w:divBdr>
        </w:div>
        <w:div w:id="1953127376">
          <w:marLeft w:val="1166"/>
          <w:marRight w:val="0"/>
          <w:marTop w:val="67"/>
          <w:marBottom w:val="0"/>
          <w:divBdr>
            <w:top w:val="none" w:sz="0" w:space="0" w:color="auto"/>
            <w:left w:val="none" w:sz="0" w:space="0" w:color="auto"/>
            <w:bottom w:val="none" w:sz="0" w:space="0" w:color="auto"/>
            <w:right w:val="none" w:sz="0" w:space="0" w:color="auto"/>
          </w:divBdr>
        </w:div>
        <w:div w:id="1485781107">
          <w:marLeft w:val="1166"/>
          <w:marRight w:val="0"/>
          <w:marTop w:val="67"/>
          <w:marBottom w:val="0"/>
          <w:divBdr>
            <w:top w:val="none" w:sz="0" w:space="0" w:color="auto"/>
            <w:left w:val="none" w:sz="0" w:space="0" w:color="auto"/>
            <w:bottom w:val="none" w:sz="0" w:space="0" w:color="auto"/>
            <w:right w:val="none" w:sz="0" w:space="0" w:color="auto"/>
          </w:divBdr>
        </w:div>
      </w:divsChild>
    </w:div>
    <w:div w:id="995300308">
      <w:bodyDiv w:val="1"/>
      <w:marLeft w:val="0"/>
      <w:marRight w:val="0"/>
      <w:marTop w:val="0"/>
      <w:marBottom w:val="0"/>
      <w:divBdr>
        <w:top w:val="none" w:sz="0" w:space="0" w:color="auto"/>
        <w:left w:val="none" w:sz="0" w:space="0" w:color="auto"/>
        <w:bottom w:val="none" w:sz="0" w:space="0" w:color="auto"/>
        <w:right w:val="none" w:sz="0" w:space="0" w:color="auto"/>
      </w:divBdr>
      <w:divsChild>
        <w:div w:id="606236056">
          <w:marLeft w:val="547"/>
          <w:marRight w:val="0"/>
          <w:marTop w:val="96"/>
          <w:marBottom w:val="0"/>
          <w:divBdr>
            <w:top w:val="none" w:sz="0" w:space="0" w:color="auto"/>
            <w:left w:val="none" w:sz="0" w:space="0" w:color="auto"/>
            <w:bottom w:val="none" w:sz="0" w:space="0" w:color="auto"/>
            <w:right w:val="none" w:sz="0" w:space="0" w:color="auto"/>
          </w:divBdr>
        </w:div>
        <w:div w:id="738289544">
          <w:marLeft w:val="1166"/>
          <w:marRight w:val="0"/>
          <w:marTop w:val="86"/>
          <w:marBottom w:val="0"/>
          <w:divBdr>
            <w:top w:val="none" w:sz="0" w:space="0" w:color="auto"/>
            <w:left w:val="none" w:sz="0" w:space="0" w:color="auto"/>
            <w:bottom w:val="none" w:sz="0" w:space="0" w:color="auto"/>
            <w:right w:val="none" w:sz="0" w:space="0" w:color="auto"/>
          </w:divBdr>
        </w:div>
        <w:div w:id="1917202637">
          <w:marLeft w:val="1166"/>
          <w:marRight w:val="0"/>
          <w:marTop w:val="86"/>
          <w:marBottom w:val="0"/>
          <w:divBdr>
            <w:top w:val="none" w:sz="0" w:space="0" w:color="auto"/>
            <w:left w:val="none" w:sz="0" w:space="0" w:color="auto"/>
            <w:bottom w:val="none" w:sz="0" w:space="0" w:color="auto"/>
            <w:right w:val="none" w:sz="0" w:space="0" w:color="auto"/>
          </w:divBdr>
        </w:div>
        <w:div w:id="801122022">
          <w:marLeft w:val="547"/>
          <w:marRight w:val="0"/>
          <w:marTop w:val="96"/>
          <w:marBottom w:val="0"/>
          <w:divBdr>
            <w:top w:val="none" w:sz="0" w:space="0" w:color="auto"/>
            <w:left w:val="none" w:sz="0" w:space="0" w:color="auto"/>
            <w:bottom w:val="none" w:sz="0" w:space="0" w:color="auto"/>
            <w:right w:val="none" w:sz="0" w:space="0" w:color="auto"/>
          </w:divBdr>
        </w:div>
        <w:div w:id="951982861">
          <w:marLeft w:val="1166"/>
          <w:marRight w:val="0"/>
          <w:marTop w:val="86"/>
          <w:marBottom w:val="0"/>
          <w:divBdr>
            <w:top w:val="none" w:sz="0" w:space="0" w:color="auto"/>
            <w:left w:val="none" w:sz="0" w:space="0" w:color="auto"/>
            <w:bottom w:val="none" w:sz="0" w:space="0" w:color="auto"/>
            <w:right w:val="none" w:sz="0" w:space="0" w:color="auto"/>
          </w:divBdr>
        </w:div>
        <w:div w:id="423721010">
          <w:marLeft w:val="1800"/>
          <w:marRight w:val="0"/>
          <w:marTop w:val="67"/>
          <w:marBottom w:val="0"/>
          <w:divBdr>
            <w:top w:val="none" w:sz="0" w:space="0" w:color="auto"/>
            <w:left w:val="none" w:sz="0" w:space="0" w:color="auto"/>
            <w:bottom w:val="none" w:sz="0" w:space="0" w:color="auto"/>
            <w:right w:val="none" w:sz="0" w:space="0" w:color="auto"/>
          </w:divBdr>
        </w:div>
        <w:div w:id="531571075">
          <w:marLeft w:val="1800"/>
          <w:marRight w:val="0"/>
          <w:marTop w:val="67"/>
          <w:marBottom w:val="0"/>
          <w:divBdr>
            <w:top w:val="none" w:sz="0" w:space="0" w:color="auto"/>
            <w:left w:val="none" w:sz="0" w:space="0" w:color="auto"/>
            <w:bottom w:val="none" w:sz="0" w:space="0" w:color="auto"/>
            <w:right w:val="none" w:sz="0" w:space="0" w:color="auto"/>
          </w:divBdr>
        </w:div>
      </w:divsChild>
    </w:div>
    <w:div w:id="1036352768">
      <w:bodyDiv w:val="1"/>
      <w:marLeft w:val="0"/>
      <w:marRight w:val="0"/>
      <w:marTop w:val="0"/>
      <w:marBottom w:val="0"/>
      <w:divBdr>
        <w:top w:val="none" w:sz="0" w:space="0" w:color="auto"/>
        <w:left w:val="none" w:sz="0" w:space="0" w:color="auto"/>
        <w:bottom w:val="none" w:sz="0" w:space="0" w:color="auto"/>
        <w:right w:val="none" w:sz="0" w:space="0" w:color="auto"/>
      </w:divBdr>
      <w:divsChild>
        <w:div w:id="1717855089">
          <w:marLeft w:val="547"/>
          <w:marRight w:val="0"/>
          <w:marTop w:val="134"/>
          <w:marBottom w:val="0"/>
          <w:divBdr>
            <w:top w:val="none" w:sz="0" w:space="0" w:color="auto"/>
            <w:left w:val="none" w:sz="0" w:space="0" w:color="auto"/>
            <w:bottom w:val="none" w:sz="0" w:space="0" w:color="auto"/>
            <w:right w:val="none" w:sz="0" w:space="0" w:color="auto"/>
          </w:divBdr>
        </w:div>
        <w:div w:id="54014576">
          <w:marLeft w:val="1166"/>
          <w:marRight w:val="0"/>
          <w:marTop w:val="115"/>
          <w:marBottom w:val="0"/>
          <w:divBdr>
            <w:top w:val="none" w:sz="0" w:space="0" w:color="auto"/>
            <w:left w:val="none" w:sz="0" w:space="0" w:color="auto"/>
            <w:bottom w:val="none" w:sz="0" w:space="0" w:color="auto"/>
            <w:right w:val="none" w:sz="0" w:space="0" w:color="auto"/>
          </w:divBdr>
        </w:div>
        <w:div w:id="360321749">
          <w:marLeft w:val="1166"/>
          <w:marRight w:val="0"/>
          <w:marTop w:val="115"/>
          <w:marBottom w:val="0"/>
          <w:divBdr>
            <w:top w:val="none" w:sz="0" w:space="0" w:color="auto"/>
            <w:left w:val="none" w:sz="0" w:space="0" w:color="auto"/>
            <w:bottom w:val="none" w:sz="0" w:space="0" w:color="auto"/>
            <w:right w:val="none" w:sz="0" w:space="0" w:color="auto"/>
          </w:divBdr>
        </w:div>
        <w:div w:id="761804665">
          <w:marLeft w:val="547"/>
          <w:marRight w:val="0"/>
          <w:marTop w:val="134"/>
          <w:marBottom w:val="0"/>
          <w:divBdr>
            <w:top w:val="none" w:sz="0" w:space="0" w:color="auto"/>
            <w:left w:val="none" w:sz="0" w:space="0" w:color="auto"/>
            <w:bottom w:val="none" w:sz="0" w:space="0" w:color="auto"/>
            <w:right w:val="none" w:sz="0" w:space="0" w:color="auto"/>
          </w:divBdr>
        </w:div>
        <w:div w:id="251401861">
          <w:marLeft w:val="1166"/>
          <w:marRight w:val="0"/>
          <w:marTop w:val="115"/>
          <w:marBottom w:val="0"/>
          <w:divBdr>
            <w:top w:val="none" w:sz="0" w:space="0" w:color="auto"/>
            <w:left w:val="none" w:sz="0" w:space="0" w:color="auto"/>
            <w:bottom w:val="none" w:sz="0" w:space="0" w:color="auto"/>
            <w:right w:val="none" w:sz="0" w:space="0" w:color="auto"/>
          </w:divBdr>
        </w:div>
        <w:div w:id="337390964">
          <w:marLeft w:val="547"/>
          <w:marRight w:val="0"/>
          <w:marTop w:val="132"/>
          <w:marBottom w:val="0"/>
          <w:divBdr>
            <w:top w:val="none" w:sz="0" w:space="0" w:color="auto"/>
            <w:left w:val="none" w:sz="0" w:space="0" w:color="auto"/>
            <w:bottom w:val="none" w:sz="0" w:space="0" w:color="auto"/>
            <w:right w:val="none" w:sz="0" w:space="0" w:color="auto"/>
          </w:divBdr>
        </w:div>
        <w:div w:id="528642428">
          <w:marLeft w:val="1166"/>
          <w:marRight w:val="0"/>
          <w:marTop w:val="115"/>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197238229">
      <w:bodyDiv w:val="1"/>
      <w:marLeft w:val="0"/>
      <w:marRight w:val="0"/>
      <w:marTop w:val="0"/>
      <w:marBottom w:val="0"/>
      <w:divBdr>
        <w:top w:val="none" w:sz="0" w:space="0" w:color="auto"/>
        <w:left w:val="none" w:sz="0" w:space="0" w:color="auto"/>
        <w:bottom w:val="none" w:sz="0" w:space="0" w:color="auto"/>
        <w:right w:val="none" w:sz="0" w:space="0" w:color="auto"/>
      </w:divBdr>
      <w:divsChild>
        <w:div w:id="1567453512">
          <w:marLeft w:val="806"/>
          <w:marRight w:val="0"/>
          <w:marTop w:val="86"/>
          <w:marBottom w:val="0"/>
          <w:divBdr>
            <w:top w:val="none" w:sz="0" w:space="0" w:color="auto"/>
            <w:left w:val="none" w:sz="0" w:space="0" w:color="auto"/>
            <w:bottom w:val="none" w:sz="0" w:space="0" w:color="auto"/>
            <w:right w:val="none" w:sz="0" w:space="0" w:color="auto"/>
          </w:divBdr>
        </w:div>
        <w:div w:id="288897026">
          <w:marLeft w:val="806"/>
          <w:marRight w:val="0"/>
          <w:marTop w:val="86"/>
          <w:marBottom w:val="0"/>
          <w:divBdr>
            <w:top w:val="none" w:sz="0" w:space="0" w:color="auto"/>
            <w:left w:val="none" w:sz="0" w:space="0" w:color="auto"/>
            <w:bottom w:val="none" w:sz="0" w:space="0" w:color="auto"/>
            <w:right w:val="none" w:sz="0" w:space="0" w:color="auto"/>
          </w:divBdr>
        </w:div>
        <w:div w:id="1032607737">
          <w:marLeft w:val="1282"/>
          <w:marRight w:val="0"/>
          <w:marTop w:val="72"/>
          <w:marBottom w:val="0"/>
          <w:divBdr>
            <w:top w:val="none" w:sz="0" w:space="0" w:color="auto"/>
            <w:left w:val="none" w:sz="0" w:space="0" w:color="auto"/>
            <w:bottom w:val="none" w:sz="0" w:space="0" w:color="auto"/>
            <w:right w:val="none" w:sz="0" w:space="0" w:color="auto"/>
          </w:divBdr>
        </w:div>
        <w:div w:id="428624325">
          <w:marLeft w:val="1829"/>
          <w:marRight w:val="0"/>
          <w:marTop w:val="58"/>
          <w:marBottom w:val="0"/>
          <w:divBdr>
            <w:top w:val="none" w:sz="0" w:space="0" w:color="auto"/>
            <w:left w:val="none" w:sz="0" w:space="0" w:color="auto"/>
            <w:bottom w:val="none" w:sz="0" w:space="0" w:color="auto"/>
            <w:right w:val="none" w:sz="0" w:space="0" w:color="auto"/>
          </w:divBdr>
        </w:div>
        <w:div w:id="417019459">
          <w:marLeft w:val="1829"/>
          <w:marRight w:val="0"/>
          <w:marTop w:val="58"/>
          <w:marBottom w:val="0"/>
          <w:divBdr>
            <w:top w:val="none" w:sz="0" w:space="0" w:color="auto"/>
            <w:left w:val="none" w:sz="0" w:space="0" w:color="auto"/>
            <w:bottom w:val="none" w:sz="0" w:space="0" w:color="auto"/>
            <w:right w:val="none" w:sz="0" w:space="0" w:color="auto"/>
          </w:divBdr>
        </w:div>
        <w:div w:id="1902904167">
          <w:marLeft w:val="1829"/>
          <w:marRight w:val="0"/>
          <w:marTop w:val="58"/>
          <w:marBottom w:val="0"/>
          <w:divBdr>
            <w:top w:val="none" w:sz="0" w:space="0" w:color="auto"/>
            <w:left w:val="none" w:sz="0" w:space="0" w:color="auto"/>
            <w:bottom w:val="none" w:sz="0" w:space="0" w:color="auto"/>
            <w:right w:val="none" w:sz="0" w:space="0" w:color="auto"/>
          </w:divBdr>
        </w:div>
        <w:div w:id="1899438438">
          <w:marLeft w:val="1829"/>
          <w:marRight w:val="0"/>
          <w:marTop w:val="58"/>
          <w:marBottom w:val="0"/>
          <w:divBdr>
            <w:top w:val="none" w:sz="0" w:space="0" w:color="auto"/>
            <w:left w:val="none" w:sz="0" w:space="0" w:color="auto"/>
            <w:bottom w:val="none" w:sz="0" w:space="0" w:color="auto"/>
            <w:right w:val="none" w:sz="0" w:space="0" w:color="auto"/>
          </w:divBdr>
        </w:div>
      </w:divsChild>
    </w:div>
    <w:div w:id="1403091946">
      <w:bodyDiv w:val="1"/>
      <w:marLeft w:val="0"/>
      <w:marRight w:val="0"/>
      <w:marTop w:val="0"/>
      <w:marBottom w:val="0"/>
      <w:divBdr>
        <w:top w:val="none" w:sz="0" w:space="0" w:color="auto"/>
        <w:left w:val="none" w:sz="0" w:space="0" w:color="auto"/>
        <w:bottom w:val="none" w:sz="0" w:space="0" w:color="auto"/>
        <w:right w:val="none" w:sz="0" w:space="0" w:color="auto"/>
      </w:divBdr>
      <w:divsChild>
        <w:div w:id="1544052861">
          <w:marLeft w:val="806"/>
          <w:marRight w:val="0"/>
          <w:marTop w:val="86"/>
          <w:marBottom w:val="0"/>
          <w:divBdr>
            <w:top w:val="none" w:sz="0" w:space="0" w:color="auto"/>
            <w:left w:val="none" w:sz="0" w:space="0" w:color="auto"/>
            <w:bottom w:val="none" w:sz="0" w:space="0" w:color="auto"/>
            <w:right w:val="none" w:sz="0" w:space="0" w:color="auto"/>
          </w:divBdr>
        </w:div>
        <w:div w:id="131140035">
          <w:marLeft w:val="1282"/>
          <w:marRight w:val="0"/>
          <w:marTop w:val="72"/>
          <w:marBottom w:val="0"/>
          <w:divBdr>
            <w:top w:val="none" w:sz="0" w:space="0" w:color="auto"/>
            <w:left w:val="none" w:sz="0" w:space="0" w:color="auto"/>
            <w:bottom w:val="none" w:sz="0" w:space="0" w:color="auto"/>
            <w:right w:val="none" w:sz="0" w:space="0" w:color="auto"/>
          </w:divBdr>
        </w:div>
        <w:div w:id="967514473">
          <w:marLeft w:val="1282"/>
          <w:marRight w:val="0"/>
          <w:marTop w:val="72"/>
          <w:marBottom w:val="0"/>
          <w:divBdr>
            <w:top w:val="none" w:sz="0" w:space="0" w:color="auto"/>
            <w:left w:val="none" w:sz="0" w:space="0" w:color="auto"/>
            <w:bottom w:val="none" w:sz="0" w:space="0" w:color="auto"/>
            <w:right w:val="none" w:sz="0" w:space="0" w:color="auto"/>
          </w:divBdr>
        </w:div>
        <w:div w:id="1596135217">
          <w:marLeft w:val="1282"/>
          <w:marRight w:val="0"/>
          <w:marTop w:val="72"/>
          <w:marBottom w:val="0"/>
          <w:divBdr>
            <w:top w:val="none" w:sz="0" w:space="0" w:color="auto"/>
            <w:left w:val="none" w:sz="0" w:space="0" w:color="auto"/>
            <w:bottom w:val="none" w:sz="0" w:space="0" w:color="auto"/>
            <w:right w:val="none" w:sz="0" w:space="0" w:color="auto"/>
          </w:divBdr>
        </w:div>
        <w:div w:id="2031058441">
          <w:marLeft w:val="806"/>
          <w:marRight w:val="0"/>
          <w:marTop w:val="86"/>
          <w:marBottom w:val="0"/>
          <w:divBdr>
            <w:top w:val="none" w:sz="0" w:space="0" w:color="auto"/>
            <w:left w:val="none" w:sz="0" w:space="0" w:color="auto"/>
            <w:bottom w:val="none" w:sz="0" w:space="0" w:color="auto"/>
            <w:right w:val="none" w:sz="0" w:space="0" w:color="auto"/>
          </w:divBdr>
        </w:div>
        <w:div w:id="15356138">
          <w:marLeft w:val="806"/>
          <w:marRight w:val="0"/>
          <w:marTop w:val="86"/>
          <w:marBottom w:val="0"/>
          <w:divBdr>
            <w:top w:val="none" w:sz="0" w:space="0" w:color="auto"/>
            <w:left w:val="none" w:sz="0" w:space="0" w:color="auto"/>
            <w:bottom w:val="none" w:sz="0" w:space="0" w:color="auto"/>
            <w:right w:val="none" w:sz="0" w:space="0" w:color="auto"/>
          </w:divBdr>
        </w:div>
      </w:divsChild>
    </w:div>
    <w:div w:id="1404260364">
      <w:bodyDiv w:val="1"/>
      <w:marLeft w:val="0"/>
      <w:marRight w:val="0"/>
      <w:marTop w:val="0"/>
      <w:marBottom w:val="0"/>
      <w:divBdr>
        <w:top w:val="none" w:sz="0" w:space="0" w:color="auto"/>
        <w:left w:val="none" w:sz="0" w:space="0" w:color="auto"/>
        <w:bottom w:val="none" w:sz="0" w:space="0" w:color="auto"/>
        <w:right w:val="none" w:sz="0" w:space="0" w:color="auto"/>
      </w:divBdr>
      <w:divsChild>
        <w:div w:id="35665300">
          <w:marLeft w:val="1166"/>
          <w:marRight w:val="0"/>
          <w:marTop w:val="65"/>
          <w:marBottom w:val="0"/>
          <w:divBdr>
            <w:top w:val="none" w:sz="0" w:space="0" w:color="auto"/>
            <w:left w:val="none" w:sz="0" w:space="0" w:color="auto"/>
            <w:bottom w:val="none" w:sz="0" w:space="0" w:color="auto"/>
            <w:right w:val="none" w:sz="0" w:space="0" w:color="auto"/>
          </w:divBdr>
        </w:div>
        <w:div w:id="1455640126">
          <w:marLeft w:val="1166"/>
          <w:marRight w:val="0"/>
          <w:marTop w:val="65"/>
          <w:marBottom w:val="0"/>
          <w:divBdr>
            <w:top w:val="none" w:sz="0" w:space="0" w:color="auto"/>
            <w:left w:val="none" w:sz="0" w:space="0" w:color="auto"/>
            <w:bottom w:val="none" w:sz="0" w:space="0" w:color="auto"/>
            <w:right w:val="none" w:sz="0" w:space="0" w:color="auto"/>
          </w:divBdr>
        </w:div>
        <w:div w:id="2044355868">
          <w:marLeft w:val="1166"/>
          <w:marRight w:val="0"/>
          <w:marTop w:val="65"/>
          <w:marBottom w:val="0"/>
          <w:divBdr>
            <w:top w:val="none" w:sz="0" w:space="0" w:color="auto"/>
            <w:left w:val="none" w:sz="0" w:space="0" w:color="auto"/>
            <w:bottom w:val="none" w:sz="0" w:space="0" w:color="auto"/>
            <w:right w:val="none" w:sz="0" w:space="0" w:color="auto"/>
          </w:divBdr>
        </w:div>
        <w:div w:id="169494228">
          <w:marLeft w:val="1166"/>
          <w:marRight w:val="0"/>
          <w:marTop w:val="65"/>
          <w:marBottom w:val="0"/>
          <w:divBdr>
            <w:top w:val="none" w:sz="0" w:space="0" w:color="auto"/>
            <w:left w:val="none" w:sz="0" w:space="0" w:color="auto"/>
            <w:bottom w:val="none" w:sz="0" w:space="0" w:color="auto"/>
            <w:right w:val="none" w:sz="0" w:space="0" w:color="auto"/>
          </w:divBdr>
        </w:div>
        <w:div w:id="159974206">
          <w:marLeft w:val="1166"/>
          <w:marRight w:val="0"/>
          <w:marTop w:val="65"/>
          <w:marBottom w:val="0"/>
          <w:divBdr>
            <w:top w:val="none" w:sz="0" w:space="0" w:color="auto"/>
            <w:left w:val="none" w:sz="0" w:space="0" w:color="auto"/>
            <w:bottom w:val="none" w:sz="0" w:space="0" w:color="auto"/>
            <w:right w:val="none" w:sz="0" w:space="0" w:color="auto"/>
          </w:divBdr>
        </w:div>
        <w:div w:id="2024015134">
          <w:marLeft w:val="1166"/>
          <w:marRight w:val="0"/>
          <w:marTop w:val="65"/>
          <w:marBottom w:val="0"/>
          <w:divBdr>
            <w:top w:val="none" w:sz="0" w:space="0" w:color="auto"/>
            <w:left w:val="none" w:sz="0" w:space="0" w:color="auto"/>
            <w:bottom w:val="none" w:sz="0" w:space="0" w:color="auto"/>
            <w:right w:val="none" w:sz="0" w:space="0" w:color="auto"/>
          </w:divBdr>
        </w:div>
      </w:divsChild>
    </w:div>
    <w:div w:id="1464344526">
      <w:bodyDiv w:val="1"/>
      <w:marLeft w:val="0"/>
      <w:marRight w:val="0"/>
      <w:marTop w:val="0"/>
      <w:marBottom w:val="0"/>
      <w:divBdr>
        <w:top w:val="none" w:sz="0" w:space="0" w:color="auto"/>
        <w:left w:val="none" w:sz="0" w:space="0" w:color="auto"/>
        <w:bottom w:val="none" w:sz="0" w:space="0" w:color="auto"/>
        <w:right w:val="none" w:sz="0" w:space="0" w:color="auto"/>
      </w:divBdr>
      <w:divsChild>
        <w:div w:id="2069331840">
          <w:marLeft w:val="547"/>
          <w:marRight w:val="0"/>
          <w:marTop w:val="134"/>
          <w:marBottom w:val="0"/>
          <w:divBdr>
            <w:top w:val="none" w:sz="0" w:space="0" w:color="auto"/>
            <w:left w:val="none" w:sz="0" w:space="0" w:color="auto"/>
            <w:bottom w:val="none" w:sz="0" w:space="0" w:color="auto"/>
            <w:right w:val="none" w:sz="0" w:space="0" w:color="auto"/>
          </w:divBdr>
        </w:div>
        <w:div w:id="1026636112">
          <w:marLeft w:val="547"/>
          <w:marRight w:val="0"/>
          <w:marTop w:val="134"/>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58738966">
      <w:bodyDiv w:val="1"/>
      <w:marLeft w:val="0"/>
      <w:marRight w:val="0"/>
      <w:marTop w:val="0"/>
      <w:marBottom w:val="0"/>
      <w:divBdr>
        <w:top w:val="none" w:sz="0" w:space="0" w:color="auto"/>
        <w:left w:val="none" w:sz="0" w:space="0" w:color="auto"/>
        <w:bottom w:val="none" w:sz="0" w:space="0" w:color="auto"/>
        <w:right w:val="none" w:sz="0" w:space="0" w:color="auto"/>
      </w:divBdr>
      <w:divsChild>
        <w:div w:id="1659729025">
          <w:marLeft w:val="547"/>
          <w:marRight w:val="0"/>
          <w:marTop w:val="96"/>
          <w:marBottom w:val="0"/>
          <w:divBdr>
            <w:top w:val="none" w:sz="0" w:space="0" w:color="auto"/>
            <w:left w:val="none" w:sz="0" w:space="0" w:color="auto"/>
            <w:bottom w:val="none" w:sz="0" w:space="0" w:color="auto"/>
            <w:right w:val="none" w:sz="0" w:space="0" w:color="auto"/>
          </w:divBdr>
        </w:div>
        <w:div w:id="1057363466">
          <w:marLeft w:val="1080"/>
          <w:marRight w:val="0"/>
          <w:marTop w:val="86"/>
          <w:marBottom w:val="0"/>
          <w:divBdr>
            <w:top w:val="none" w:sz="0" w:space="0" w:color="auto"/>
            <w:left w:val="none" w:sz="0" w:space="0" w:color="auto"/>
            <w:bottom w:val="none" w:sz="0" w:space="0" w:color="auto"/>
            <w:right w:val="none" w:sz="0" w:space="0" w:color="auto"/>
          </w:divBdr>
        </w:div>
        <w:div w:id="403140075">
          <w:marLeft w:val="547"/>
          <w:marRight w:val="0"/>
          <w:marTop w:val="96"/>
          <w:marBottom w:val="0"/>
          <w:divBdr>
            <w:top w:val="none" w:sz="0" w:space="0" w:color="auto"/>
            <w:left w:val="none" w:sz="0" w:space="0" w:color="auto"/>
            <w:bottom w:val="none" w:sz="0" w:space="0" w:color="auto"/>
            <w:right w:val="none" w:sz="0" w:space="0" w:color="auto"/>
          </w:divBdr>
        </w:div>
        <w:div w:id="88745708">
          <w:marLeft w:val="1166"/>
          <w:marRight w:val="0"/>
          <w:marTop w:val="86"/>
          <w:marBottom w:val="0"/>
          <w:divBdr>
            <w:top w:val="none" w:sz="0" w:space="0" w:color="auto"/>
            <w:left w:val="none" w:sz="0" w:space="0" w:color="auto"/>
            <w:bottom w:val="none" w:sz="0" w:space="0" w:color="auto"/>
            <w:right w:val="none" w:sz="0" w:space="0" w:color="auto"/>
          </w:divBdr>
        </w:div>
        <w:div w:id="1201165774">
          <w:marLeft w:val="1166"/>
          <w:marRight w:val="0"/>
          <w:marTop w:val="86"/>
          <w:marBottom w:val="0"/>
          <w:divBdr>
            <w:top w:val="none" w:sz="0" w:space="0" w:color="auto"/>
            <w:left w:val="none" w:sz="0" w:space="0" w:color="auto"/>
            <w:bottom w:val="none" w:sz="0" w:space="0" w:color="auto"/>
            <w:right w:val="none" w:sz="0" w:space="0" w:color="auto"/>
          </w:divBdr>
        </w:div>
        <w:div w:id="1250313363">
          <w:marLeft w:val="547"/>
          <w:marRight w:val="0"/>
          <w:marTop w:val="96"/>
          <w:marBottom w:val="0"/>
          <w:divBdr>
            <w:top w:val="none" w:sz="0" w:space="0" w:color="auto"/>
            <w:left w:val="none" w:sz="0" w:space="0" w:color="auto"/>
            <w:bottom w:val="none" w:sz="0" w:space="0" w:color="auto"/>
            <w:right w:val="none" w:sz="0" w:space="0" w:color="auto"/>
          </w:divBdr>
        </w:div>
        <w:div w:id="168911736">
          <w:marLeft w:val="1080"/>
          <w:marRight w:val="0"/>
          <w:marTop w:val="86"/>
          <w:marBottom w:val="0"/>
          <w:divBdr>
            <w:top w:val="none" w:sz="0" w:space="0" w:color="auto"/>
            <w:left w:val="none" w:sz="0" w:space="0" w:color="auto"/>
            <w:bottom w:val="none" w:sz="0" w:space="0" w:color="auto"/>
            <w:right w:val="none" w:sz="0" w:space="0" w:color="auto"/>
          </w:divBdr>
        </w:div>
        <w:div w:id="1514496690">
          <w:marLeft w:val="547"/>
          <w:marRight w:val="0"/>
          <w:marTop w:val="96"/>
          <w:marBottom w:val="0"/>
          <w:divBdr>
            <w:top w:val="none" w:sz="0" w:space="0" w:color="auto"/>
            <w:left w:val="none" w:sz="0" w:space="0" w:color="auto"/>
            <w:bottom w:val="none" w:sz="0" w:space="0" w:color="auto"/>
            <w:right w:val="none" w:sz="0" w:space="0" w:color="auto"/>
          </w:divBdr>
        </w:div>
        <w:div w:id="640962420">
          <w:marLeft w:val="1166"/>
          <w:marRight w:val="0"/>
          <w:marTop w:val="86"/>
          <w:marBottom w:val="0"/>
          <w:divBdr>
            <w:top w:val="none" w:sz="0" w:space="0" w:color="auto"/>
            <w:left w:val="none" w:sz="0" w:space="0" w:color="auto"/>
            <w:bottom w:val="none" w:sz="0" w:space="0" w:color="auto"/>
            <w:right w:val="none" w:sz="0" w:space="0" w:color="auto"/>
          </w:divBdr>
        </w:div>
        <w:div w:id="237450059">
          <w:marLeft w:val="1166"/>
          <w:marRight w:val="0"/>
          <w:marTop w:val="86"/>
          <w:marBottom w:val="0"/>
          <w:divBdr>
            <w:top w:val="none" w:sz="0" w:space="0" w:color="auto"/>
            <w:left w:val="none" w:sz="0" w:space="0" w:color="auto"/>
            <w:bottom w:val="none" w:sz="0" w:space="0" w:color="auto"/>
            <w:right w:val="none" w:sz="0" w:space="0" w:color="auto"/>
          </w:divBdr>
        </w:div>
        <w:div w:id="1921669072">
          <w:marLeft w:val="547"/>
          <w:marRight w:val="0"/>
          <w:marTop w:val="96"/>
          <w:marBottom w:val="0"/>
          <w:divBdr>
            <w:top w:val="none" w:sz="0" w:space="0" w:color="auto"/>
            <w:left w:val="none" w:sz="0" w:space="0" w:color="auto"/>
            <w:bottom w:val="none" w:sz="0" w:space="0" w:color="auto"/>
            <w:right w:val="none" w:sz="0" w:space="0" w:color="auto"/>
          </w:divBdr>
        </w:div>
      </w:divsChild>
    </w:div>
    <w:div w:id="1739328947">
      <w:bodyDiv w:val="1"/>
      <w:marLeft w:val="0"/>
      <w:marRight w:val="0"/>
      <w:marTop w:val="0"/>
      <w:marBottom w:val="0"/>
      <w:divBdr>
        <w:top w:val="none" w:sz="0" w:space="0" w:color="auto"/>
        <w:left w:val="none" w:sz="0" w:space="0" w:color="auto"/>
        <w:bottom w:val="none" w:sz="0" w:space="0" w:color="auto"/>
        <w:right w:val="none" w:sz="0" w:space="0" w:color="auto"/>
      </w:divBdr>
      <w:divsChild>
        <w:div w:id="780344169">
          <w:marLeft w:val="1166"/>
          <w:marRight w:val="0"/>
          <w:marTop w:val="65"/>
          <w:marBottom w:val="0"/>
          <w:divBdr>
            <w:top w:val="none" w:sz="0" w:space="0" w:color="auto"/>
            <w:left w:val="none" w:sz="0" w:space="0" w:color="auto"/>
            <w:bottom w:val="none" w:sz="0" w:space="0" w:color="auto"/>
            <w:right w:val="none" w:sz="0" w:space="0" w:color="auto"/>
          </w:divBdr>
        </w:div>
        <w:div w:id="961229843">
          <w:marLeft w:val="1166"/>
          <w:marRight w:val="0"/>
          <w:marTop w:val="65"/>
          <w:marBottom w:val="0"/>
          <w:divBdr>
            <w:top w:val="none" w:sz="0" w:space="0" w:color="auto"/>
            <w:left w:val="none" w:sz="0" w:space="0" w:color="auto"/>
            <w:bottom w:val="none" w:sz="0" w:space="0" w:color="auto"/>
            <w:right w:val="none" w:sz="0" w:space="0" w:color="auto"/>
          </w:divBdr>
        </w:div>
        <w:div w:id="1310863530">
          <w:marLeft w:val="1166"/>
          <w:marRight w:val="0"/>
          <w:marTop w:val="65"/>
          <w:marBottom w:val="0"/>
          <w:divBdr>
            <w:top w:val="none" w:sz="0" w:space="0" w:color="auto"/>
            <w:left w:val="none" w:sz="0" w:space="0" w:color="auto"/>
            <w:bottom w:val="none" w:sz="0" w:space="0" w:color="auto"/>
            <w:right w:val="none" w:sz="0" w:space="0" w:color="auto"/>
          </w:divBdr>
        </w:div>
        <w:div w:id="1621449790">
          <w:marLeft w:val="1166"/>
          <w:marRight w:val="0"/>
          <w:marTop w:val="65"/>
          <w:marBottom w:val="0"/>
          <w:divBdr>
            <w:top w:val="none" w:sz="0" w:space="0" w:color="auto"/>
            <w:left w:val="none" w:sz="0" w:space="0" w:color="auto"/>
            <w:bottom w:val="none" w:sz="0" w:space="0" w:color="auto"/>
            <w:right w:val="none" w:sz="0" w:space="0" w:color="auto"/>
          </w:divBdr>
        </w:div>
        <w:div w:id="949580519">
          <w:marLeft w:val="1166"/>
          <w:marRight w:val="0"/>
          <w:marTop w:val="65"/>
          <w:marBottom w:val="0"/>
          <w:divBdr>
            <w:top w:val="none" w:sz="0" w:space="0" w:color="auto"/>
            <w:left w:val="none" w:sz="0" w:space="0" w:color="auto"/>
            <w:bottom w:val="none" w:sz="0" w:space="0" w:color="auto"/>
            <w:right w:val="none" w:sz="0" w:space="0" w:color="auto"/>
          </w:divBdr>
        </w:div>
        <w:div w:id="1171795383">
          <w:marLeft w:val="1800"/>
          <w:marRight w:val="0"/>
          <w:marTop w:val="5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26891026">
      <w:bodyDiv w:val="1"/>
      <w:marLeft w:val="0"/>
      <w:marRight w:val="0"/>
      <w:marTop w:val="0"/>
      <w:marBottom w:val="0"/>
      <w:divBdr>
        <w:top w:val="none" w:sz="0" w:space="0" w:color="auto"/>
        <w:left w:val="none" w:sz="0" w:space="0" w:color="auto"/>
        <w:bottom w:val="none" w:sz="0" w:space="0" w:color="auto"/>
        <w:right w:val="none" w:sz="0" w:space="0" w:color="auto"/>
      </w:divBdr>
      <w:divsChild>
        <w:div w:id="2003656945">
          <w:marLeft w:val="547"/>
          <w:marRight w:val="0"/>
          <w:marTop w:val="96"/>
          <w:marBottom w:val="0"/>
          <w:divBdr>
            <w:top w:val="none" w:sz="0" w:space="0" w:color="auto"/>
            <w:left w:val="none" w:sz="0" w:space="0" w:color="auto"/>
            <w:bottom w:val="none" w:sz="0" w:space="0" w:color="auto"/>
            <w:right w:val="none" w:sz="0" w:space="0" w:color="auto"/>
          </w:divBdr>
        </w:div>
        <w:div w:id="857349623">
          <w:marLeft w:val="1166"/>
          <w:marRight w:val="0"/>
          <w:marTop w:val="84"/>
          <w:marBottom w:val="0"/>
          <w:divBdr>
            <w:top w:val="none" w:sz="0" w:space="0" w:color="auto"/>
            <w:left w:val="none" w:sz="0" w:space="0" w:color="auto"/>
            <w:bottom w:val="none" w:sz="0" w:space="0" w:color="auto"/>
            <w:right w:val="none" w:sz="0" w:space="0" w:color="auto"/>
          </w:divBdr>
        </w:div>
        <w:div w:id="256866299">
          <w:marLeft w:val="1800"/>
          <w:marRight w:val="0"/>
          <w:marTop w:val="74"/>
          <w:marBottom w:val="0"/>
          <w:divBdr>
            <w:top w:val="none" w:sz="0" w:space="0" w:color="auto"/>
            <w:left w:val="none" w:sz="0" w:space="0" w:color="auto"/>
            <w:bottom w:val="none" w:sz="0" w:space="0" w:color="auto"/>
            <w:right w:val="none" w:sz="0" w:space="0" w:color="auto"/>
          </w:divBdr>
        </w:div>
        <w:div w:id="958148707">
          <w:marLeft w:val="2520"/>
          <w:marRight w:val="0"/>
          <w:marTop w:val="64"/>
          <w:marBottom w:val="0"/>
          <w:divBdr>
            <w:top w:val="none" w:sz="0" w:space="0" w:color="auto"/>
            <w:left w:val="none" w:sz="0" w:space="0" w:color="auto"/>
            <w:bottom w:val="none" w:sz="0" w:space="0" w:color="auto"/>
            <w:right w:val="none" w:sz="0" w:space="0" w:color="auto"/>
          </w:divBdr>
        </w:div>
        <w:div w:id="1414664383">
          <w:marLeft w:val="2520"/>
          <w:marRight w:val="0"/>
          <w:marTop w:val="64"/>
          <w:marBottom w:val="0"/>
          <w:divBdr>
            <w:top w:val="none" w:sz="0" w:space="0" w:color="auto"/>
            <w:left w:val="none" w:sz="0" w:space="0" w:color="auto"/>
            <w:bottom w:val="none" w:sz="0" w:space="0" w:color="auto"/>
            <w:right w:val="none" w:sz="0" w:space="0" w:color="auto"/>
          </w:divBdr>
        </w:div>
        <w:div w:id="443041181">
          <w:marLeft w:val="1800"/>
          <w:marRight w:val="0"/>
          <w:marTop w:val="74"/>
          <w:marBottom w:val="0"/>
          <w:divBdr>
            <w:top w:val="none" w:sz="0" w:space="0" w:color="auto"/>
            <w:left w:val="none" w:sz="0" w:space="0" w:color="auto"/>
            <w:bottom w:val="none" w:sz="0" w:space="0" w:color="auto"/>
            <w:right w:val="none" w:sz="0" w:space="0" w:color="auto"/>
          </w:divBdr>
        </w:div>
        <w:div w:id="273706389">
          <w:marLeft w:val="2520"/>
          <w:marRight w:val="0"/>
          <w:marTop w:val="64"/>
          <w:marBottom w:val="0"/>
          <w:divBdr>
            <w:top w:val="none" w:sz="0" w:space="0" w:color="auto"/>
            <w:left w:val="none" w:sz="0" w:space="0" w:color="auto"/>
            <w:bottom w:val="none" w:sz="0" w:space="0" w:color="auto"/>
            <w:right w:val="none" w:sz="0" w:space="0" w:color="auto"/>
          </w:divBdr>
        </w:div>
        <w:div w:id="2038776113">
          <w:marLeft w:val="1800"/>
          <w:marRight w:val="0"/>
          <w:marTop w:val="74"/>
          <w:marBottom w:val="0"/>
          <w:divBdr>
            <w:top w:val="none" w:sz="0" w:space="0" w:color="auto"/>
            <w:left w:val="none" w:sz="0" w:space="0" w:color="auto"/>
            <w:bottom w:val="none" w:sz="0" w:space="0" w:color="auto"/>
            <w:right w:val="none" w:sz="0" w:space="0" w:color="auto"/>
          </w:divBdr>
        </w:div>
        <w:div w:id="1336952682">
          <w:marLeft w:val="2520"/>
          <w:marRight w:val="0"/>
          <w:marTop w:val="64"/>
          <w:marBottom w:val="0"/>
          <w:divBdr>
            <w:top w:val="none" w:sz="0" w:space="0" w:color="auto"/>
            <w:left w:val="none" w:sz="0" w:space="0" w:color="auto"/>
            <w:bottom w:val="none" w:sz="0" w:space="0" w:color="auto"/>
            <w:right w:val="none" w:sz="0" w:space="0" w:color="auto"/>
          </w:divBdr>
        </w:div>
        <w:div w:id="1806046035">
          <w:marLeft w:val="3240"/>
          <w:marRight w:val="0"/>
          <w:marTop w:val="77"/>
          <w:marBottom w:val="0"/>
          <w:divBdr>
            <w:top w:val="none" w:sz="0" w:space="0" w:color="auto"/>
            <w:left w:val="none" w:sz="0" w:space="0" w:color="auto"/>
            <w:bottom w:val="none" w:sz="0" w:space="0" w:color="auto"/>
            <w:right w:val="none" w:sz="0" w:space="0" w:color="auto"/>
          </w:divBdr>
        </w:div>
        <w:div w:id="956571848">
          <w:marLeft w:val="1166"/>
          <w:marRight w:val="0"/>
          <w:marTop w:val="86"/>
          <w:marBottom w:val="0"/>
          <w:divBdr>
            <w:top w:val="none" w:sz="0" w:space="0" w:color="auto"/>
            <w:left w:val="none" w:sz="0" w:space="0" w:color="auto"/>
            <w:bottom w:val="none" w:sz="0" w:space="0" w:color="auto"/>
            <w:right w:val="none" w:sz="0" w:space="0" w:color="auto"/>
          </w:divBdr>
        </w:div>
        <w:div w:id="1754282571">
          <w:marLeft w:val="1166"/>
          <w:marRight w:val="0"/>
          <w:marTop w:val="86"/>
          <w:marBottom w:val="0"/>
          <w:divBdr>
            <w:top w:val="none" w:sz="0" w:space="0" w:color="auto"/>
            <w:left w:val="none" w:sz="0" w:space="0" w:color="auto"/>
            <w:bottom w:val="none" w:sz="0" w:space="0" w:color="auto"/>
            <w:right w:val="none" w:sz="0" w:space="0" w:color="auto"/>
          </w:divBdr>
        </w:div>
      </w:divsChild>
    </w:div>
    <w:div w:id="1889760469">
      <w:bodyDiv w:val="1"/>
      <w:marLeft w:val="0"/>
      <w:marRight w:val="0"/>
      <w:marTop w:val="0"/>
      <w:marBottom w:val="0"/>
      <w:divBdr>
        <w:top w:val="none" w:sz="0" w:space="0" w:color="auto"/>
        <w:left w:val="none" w:sz="0" w:space="0" w:color="auto"/>
        <w:bottom w:val="none" w:sz="0" w:space="0" w:color="auto"/>
        <w:right w:val="none" w:sz="0" w:space="0" w:color="auto"/>
      </w:divBdr>
      <w:divsChild>
        <w:div w:id="1895459093">
          <w:marLeft w:val="547"/>
          <w:marRight w:val="0"/>
          <w:marTop w:val="115"/>
          <w:marBottom w:val="0"/>
          <w:divBdr>
            <w:top w:val="none" w:sz="0" w:space="0" w:color="auto"/>
            <w:left w:val="none" w:sz="0" w:space="0" w:color="auto"/>
            <w:bottom w:val="none" w:sz="0" w:space="0" w:color="auto"/>
            <w:right w:val="none" w:sz="0" w:space="0" w:color="auto"/>
          </w:divBdr>
        </w:div>
        <w:div w:id="126819167">
          <w:marLeft w:val="1166"/>
          <w:marRight w:val="0"/>
          <w:marTop w:val="101"/>
          <w:marBottom w:val="0"/>
          <w:divBdr>
            <w:top w:val="none" w:sz="0" w:space="0" w:color="auto"/>
            <w:left w:val="none" w:sz="0" w:space="0" w:color="auto"/>
            <w:bottom w:val="none" w:sz="0" w:space="0" w:color="auto"/>
            <w:right w:val="none" w:sz="0" w:space="0" w:color="auto"/>
          </w:divBdr>
        </w:div>
        <w:div w:id="776173478">
          <w:marLeft w:val="1166"/>
          <w:marRight w:val="0"/>
          <w:marTop w:val="101"/>
          <w:marBottom w:val="0"/>
          <w:divBdr>
            <w:top w:val="none" w:sz="0" w:space="0" w:color="auto"/>
            <w:left w:val="none" w:sz="0" w:space="0" w:color="auto"/>
            <w:bottom w:val="none" w:sz="0" w:space="0" w:color="auto"/>
            <w:right w:val="none" w:sz="0" w:space="0" w:color="auto"/>
          </w:divBdr>
        </w:div>
        <w:div w:id="665593725">
          <w:marLeft w:val="547"/>
          <w:marRight w:val="0"/>
          <w:marTop w:val="115"/>
          <w:marBottom w:val="0"/>
          <w:divBdr>
            <w:top w:val="none" w:sz="0" w:space="0" w:color="auto"/>
            <w:left w:val="none" w:sz="0" w:space="0" w:color="auto"/>
            <w:bottom w:val="none" w:sz="0" w:space="0" w:color="auto"/>
            <w:right w:val="none" w:sz="0" w:space="0" w:color="auto"/>
          </w:divBdr>
        </w:div>
        <w:div w:id="203097730">
          <w:marLeft w:val="1166"/>
          <w:marRight w:val="0"/>
          <w:marTop w:val="101"/>
          <w:marBottom w:val="0"/>
          <w:divBdr>
            <w:top w:val="none" w:sz="0" w:space="0" w:color="auto"/>
            <w:left w:val="none" w:sz="0" w:space="0" w:color="auto"/>
            <w:bottom w:val="none" w:sz="0" w:space="0" w:color="auto"/>
            <w:right w:val="none" w:sz="0" w:space="0" w:color="auto"/>
          </w:divBdr>
        </w:div>
        <w:div w:id="1318848813">
          <w:marLeft w:val="547"/>
          <w:marRight w:val="0"/>
          <w:marTop w:val="115"/>
          <w:marBottom w:val="0"/>
          <w:divBdr>
            <w:top w:val="none" w:sz="0" w:space="0" w:color="auto"/>
            <w:left w:val="none" w:sz="0" w:space="0" w:color="auto"/>
            <w:bottom w:val="none" w:sz="0" w:space="0" w:color="auto"/>
            <w:right w:val="none" w:sz="0" w:space="0" w:color="auto"/>
          </w:divBdr>
        </w:div>
        <w:div w:id="1453984825">
          <w:marLeft w:val="1166"/>
          <w:marRight w:val="0"/>
          <w:marTop w:val="101"/>
          <w:marBottom w:val="0"/>
          <w:divBdr>
            <w:top w:val="none" w:sz="0" w:space="0" w:color="auto"/>
            <w:left w:val="none" w:sz="0" w:space="0" w:color="auto"/>
            <w:bottom w:val="none" w:sz="0" w:space="0" w:color="auto"/>
            <w:right w:val="none" w:sz="0" w:space="0" w:color="auto"/>
          </w:divBdr>
        </w:div>
      </w:divsChild>
    </w:div>
    <w:div w:id="1928004089">
      <w:bodyDiv w:val="1"/>
      <w:marLeft w:val="0"/>
      <w:marRight w:val="0"/>
      <w:marTop w:val="0"/>
      <w:marBottom w:val="0"/>
      <w:divBdr>
        <w:top w:val="none" w:sz="0" w:space="0" w:color="auto"/>
        <w:left w:val="none" w:sz="0" w:space="0" w:color="auto"/>
        <w:bottom w:val="none" w:sz="0" w:space="0" w:color="auto"/>
        <w:right w:val="none" w:sz="0" w:space="0" w:color="auto"/>
      </w:divBdr>
      <w:divsChild>
        <w:div w:id="1503004480">
          <w:marLeft w:val="1166"/>
          <w:marRight w:val="0"/>
          <w:marTop w:val="72"/>
          <w:marBottom w:val="0"/>
          <w:divBdr>
            <w:top w:val="none" w:sz="0" w:space="0" w:color="auto"/>
            <w:left w:val="none" w:sz="0" w:space="0" w:color="auto"/>
            <w:bottom w:val="none" w:sz="0" w:space="0" w:color="auto"/>
            <w:right w:val="none" w:sz="0" w:space="0" w:color="auto"/>
          </w:divBdr>
        </w:div>
        <w:div w:id="2065105606">
          <w:marLeft w:val="1166"/>
          <w:marRight w:val="0"/>
          <w:marTop w:val="72"/>
          <w:marBottom w:val="0"/>
          <w:divBdr>
            <w:top w:val="none" w:sz="0" w:space="0" w:color="auto"/>
            <w:left w:val="none" w:sz="0" w:space="0" w:color="auto"/>
            <w:bottom w:val="none" w:sz="0" w:space="0" w:color="auto"/>
            <w:right w:val="none" w:sz="0" w:space="0" w:color="auto"/>
          </w:divBdr>
        </w:div>
        <w:div w:id="191766356">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05161684">
      <w:bodyDiv w:val="1"/>
      <w:marLeft w:val="0"/>
      <w:marRight w:val="0"/>
      <w:marTop w:val="0"/>
      <w:marBottom w:val="0"/>
      <w:divBdr>
        <w:top w:val="none" w:sz="0" w:space="0" w:color="auto"/>
        <w:left w:val="none" w:sz="0" w:space="0" w:color="auto"/>
        <w:bottom w:val="none" w:sz="0" w:space="0" w:color="auto"/>
        <w:right w:val="none" w:sz="0" w:space="0" w:color="auto"/>
      </w:divBdr>
      <w:divsChild>
        <w:div w:id="2109888828">
          <w:marLeft w:val="547"/>
          <w:marRight w:val="0"/>
          <w:marTop w:val="9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47368027">
      <w:bodyDiv w:val="1"/>
      <w:marLeft w:val="0"/>
      <w:marRight w:val="0"/>
      <w:marTop w:val="0"/>
      <w:marBottom w:val="0"/>
      <w:divBdr>
        <w:top w:val="none" w:sz="0" w:space="0" w:color="auto"/>
        <w:left w:val="none" w:sz="0" w:space="0" w:color="auto"/>
        <w:bottom w:val="none" w:sz="0" w:space="0" w:color="auto"/>
        <w:right w:val="none" w:sz="0" w:space="0" w:color="auto"/>
      </w:divBdr>
      <w:divsChild>
        <w:div w:id="2043751231">
          <w:marLeft w:val="806"/>
          <w:marRight w:val="0"/>
          <w:marTop w:val="86"/>
          <w:marBottom w:val="0"/>
          <w:divBdr>
            <w:top w:val="none" w:sz="0" w:space="0" w:color="auto"/>
            <w:left w:val="none" w:sz="0" w:space="0" w:color="auto"/>
            <w:bottom w:val="none" w:sz="0" w:space="0" w:color="auto"/>
            <w:right w:val="none" w:sz="0" w:space="0" w:color="auto"/>
          </w:divBdr>
        </w:div>
        <w:div w:id="1559172454">
          <w:marLeft w:val="806"/>
          <w:marRight w:val="0"/>
          <w:marTop w:val="86"/>
          <w:marBottom w:val="0"/>
          <w:divBdr>
            <w:top w:val="none" w:sz="0" w:space="0" w:color="auto"/>
            <w:left w:val="none" w:sz="0" w:space="0" w:color="auto"/>
            <w:bottom w:val="none" w:sz="0" w:space="0" w:color="auto"/>
            <w:right w:val="none" w:sz="0" w:space="0" w:color="auto"/>
          </w:divBdr>
        </w:div>
        <w:div w:id="770592624">
          <w:marLeft w:val="1282"/>
          <w:marRight w:val="0"/>
          <w:marTop w:val="72"/>
          <w:marBottom w:val="0"/>
          <w:divBdr>
            <w:top w:val="none" w:sz="0" w:space="0" w:color="auto"/>
            <w:left w:val="none" w:sz="0" w:space="0" w:color="auto"/>
            <w:bottom w:val="none" w:sz="0" w:space="0" w:color="auto"/>
            <w:right w:val="none" w:sz="0" w:space="0" w:color="auto"/>
          </w:divBdr>
        </w:div>
        <w:div w:id="652758434">
          <w:marLeft w:val="2520"/>
          <w:marRight w:val="0"/>
          <w:marTop w:val="65"/>
          <w:marBottom w:val="0"/>
          <w:divBdr>
            <w:top w:val="none" w:sz="0" w:space="0" w:color="auto"/>
            <w:left w:val="none" w:sz="0" w:space="0" w:color="auto"/>
            <w:bottom w:val="none" w:sz="0" w:space="0" w:color="auto"/>
            <w:right w:val="none" w:sz="0" w:space="0" w:color="auto"/>
          </w:divBdr>
        </w:div>
        <w:div w:id="593786527">
          <w:marLeft w:val="806"/>
          <w:marRight w:val="0"/>
          <w:marTop w:val="86"/>
          <w:marBottom w:val="0"/>
          <w:divBdr>
            <w:top w:val="none" w:sz="0" w:space="0" w:color="auto"/>
            <w:left w:val="none" w:sz="0" w:space="0" w:color="auto"/>
            <w:bottom w:val="none" w:sz="0" w:space="0" w:color="auto"/>
            <w:right w:val="none" w:sz="0" w:space="0" w:color="auto"/>
          </w:divBdr>
        </w:div>
        <w:div w:id="79571170">
          <w:marLeft w:val="1282"/>
          <w:marRight w:val="0"/>
          <w:marTop w:val="72"/>
          <w:marBottom w:val="0"/>
          <w:divBdr>
            <w:top w:val="none" w:sz="0" w:space="0" w:color="auto"/>
            <w:left w:val="none" w:sz="0" w:space="0" w:color="auto"/>
            <w:bottom w:val="none" w:sz="0" w:space="0" w:color="auto"/>
            <w:right w:val="none" w:sz="0" w:space="0" w:color="auto"/>
          </w:divBdr>
        </w:div>
      </w:divsChild>
    </w:div>
    <w:div w:id="2051101762">
      <w:bodyDiv w:val="1"/>
      <w:marLeft w:val="0"/>
      <w:marRight w:val="0"/>
      <w:marTop w:val="0"/>
      <w:marBottom w:val="0"/>
      <w:divBdr>
        <w:top w:val="none" w:sz="0" w:space="0" w:color="auto"/>
        <w:left w:val="none" w:sz="0" w:space="0" w:color="auto"/>
        <w:bottom w:val="none" w:sz="0" w:space="0" w:color="auto"/>
        <w:right w:val="none" w:sz="0" w:space="0" w:color="auto"/>
      </w:divBdr>
      <w:divsChild>
        <w:div w:id="1264731463">
          <w:marLeft w:val="806"/>
          <w:marRight w:val="0"/>
          <w:marTop w:val="86"/>
          <w:marBottom w:val="0"/>
          <w:divBdr>
            <w:top w:val="none" w:sz="0" w:space="0" w:color="auto"/>
            <w:left w:val="none" w:sz="0" w:space="0" w:color="auto"/>
            <w:bottom w:val="none" w:sz="0" w:space="0" w:color="auto"/>
            <w:right w:val="none" w:sz="0" w:space="0" w:color="auto"/>
          </w:divBdr>
        </w:div>
        <w:div w:id="1603147582">
          <w:marLeft w:val="806"/>
          <w:marRight w:val="0"/>
          <w:marTop w:val="86"/>
          <w:marBottom w:val="0"/>
          <w:divBdr>
            <w:top w:val="none" w:sz="0" w:space="0" w:color="auto"/>
            <w:left w:val="none" w:sz="0" w:space="0" w:color="auto"/>
            <w:bottom w:val="none" w:sz="0" w:space="0" w:color="auto"/>
            <w:right w:val="none" w:sz="0" w:space="0" w:color="auto"/>
          </w:divBdr>
        </w:div>
        <w:div w:id="1026060603">
          <w:marLeft w:val="1282"/>
          <w:marRight w:val="0"/>
          <w:marTop w:val="72"/>
          <w:marBottom w:val="0"/>
          <w:divBdr>
            <w:top w:val="none" w:sz="0" w:space="0" w:color="auto"/>
            <w:left w:val="none" w:sz="0" w:space="0" w:color="auto"/>
            <w:bottom w:val="none" w:sz="0" w:space="0" w:color="auto"/>
            <w:right w:val="none" w:sz="0" w:space="0" w:color="auto"/>
          </w:divBdr>
        </w:div>
        <w:div w:id="2044477353">
          <w:marLeft w:val="2520"/>
          <w:marRight w:val="0"/>
          <w:marTop w:val="65"/>
          <w:marBottom w:val="0"/>
          <w:divBdr>
            <w:top w:val="none" w:sz="0" w:space="0" w:color="auto"/>
            <w:left w:val="none" w:sz="0" w:space="0" w:color="auto"/>
            <w:bottom w:val="none" w:sz="0" w:space="0" w:color="auto"/>
            <w:right w:val="none" w:sz="0" w:space="0" w:color="auto"/>
          </w:divBdr>
        </w:div>
        <w:div w:id="2107538349">
          <w:marLeft w:val="806"/>
          <w:marRight w:val="0"/>
          <w:marTop w:val="86"/>
          <w:marBottom w:val="0"/>
          <w:divBdr>
            <w:top w:val="none" w:sz="0" w:space="0" w:color="auto"/>
            <w:left w:val="none" w:sz="0" w:space="0" w:color="auto"/>
            <w:bottom w:val="none" w:sz="0" w:space="0" w:color="auto"/>
            <w:right w:val="none" w:sz="0" w:space="0" w:color="auto"/>
          </w:divBdr>
        </w:div>
        <w:div w:id="1455365836">
          <w:marLeft w:val="1282"/>
          <w:marRight w:val="0"/>
          <w:marTop w:val="72"/>
          <w:marBottom w:val="0"/>
          <w:divBdr>
            <w:top w:val="none" w:sz="0" w:space="0" w:color="auto"/>
            <w:left w:val="none" w:sz="0" w:space="0" w:color="auto"/>
            <w:bottom w:val="none" w:sz="0" w:space="0" w:color="auto"/>
            <w:right w:val="none" w:sz="0" w:space="0" w:color="auto"/>
          </w:divBdr>
        </w:div>
      </w:divsChild>
    </w:div>
    <w:div w:id="2098624146">
      <w:bodyDiv w:val="1"/>
      <w:marLeft w:val="0"/>
      <w:marRight w:val="0"/>
      <w:marTop w:val="0"/>
      <w:marBottom w:val="0"/>
      <w:divBdr>
        <w:top w:val="none" w:sz="0" w:space="0" w:color="auto"/>
        <w:left w:val="none" w:sz="0" w:space="0" w:color="auto"/>
        <w:bottom w:val="none" w:sz="0" w:space="0" w:color="auto"/>
        <w:right w:val="none" w:sz="0" w:space="0" w:color="auto"/>
      </w:divBdr>
      <w:divsChild>
        <w:div w:id="1162889031">
          <w:marLeft w:val="547"/>
          <w:marRight w:val="0"/>
          <w:marTop w:val="115"/>
          <w:marBottom w:val="0"/>
          <w:divBdr>
            <w:top w:val="none" w:sz="0" w:space="0" w:color="auto"/>
            <w:left w:val="none" w:sz="0" w:space="0" w:color="auto"/>
            <w:bottom w:val="none" w:sz="0" w:space="0" w:color="auto"/>
            <w:right w:val="none" w:sz="0" w:space="0" w:color="auto"/>
          </w:divBdr>
        </w:div>
        <w:div w:id="1397893733">
          <w:marLeft w:val="1166"/>
          <w:marRight w:val="0"/>
          <w:marTop w:val="101"/>
          <w:marBottom w:val="0"/>
          <w:divBdr>
            <w:top w:val="none" w:sz="0" w:space="0" w:color="auto"/>
            <w:left w:val="none" w:sz="0" w:space="0" w:color="auto"/>
            <w:bottom w:val="none" w:sz="0" w:space="0" w:color="auto"/>
            <w:right w:val="none" w:sz="0" w:space="0" w:color="auto"/>
          </w:divBdr>
        </w:div>
        <w:div w:id="1652979465">
          <w:marLeft w:val="1166"/>
          <w:marRight w:val="0"/>
          <w:marTop w:val="101"/>
          <w:marBottom w:val="0"/>
          <w:divBdr>
            <w:top w:val="none" w:sz="0" w:space="0" w:color="auto"/>
            <w:left w:val="none" w:sz="0" w:space="0" w:color="auto"/>
            <w:bottom w:val="none" w:sz="0" w:space="0" w:color="auto"/>
            <w:right w:val="none" w:sz="0" w:space="0" w:color="auto"/>
          </w:divBdr>
        </w:div>
        <w:div w:id="1119253567">
          <w:marLeft w:val="547"/>
          <w:marRight w:val="0"/>
          <w:marTop w:val="115"/>
          <w:marBottom w:val="0"/>
          <w:divBdr>
            <w:top w:val="none" w:sz="0" w:space="0" w:color="auto"/>
            <w:left w:val="none" w:sz="0" w:space="0" w:color="auto"/>
            <w:bottom w:val="none" w:sz="0" w:space="0" w:color="auto"/>
            <w:right w:val="none" w:sz="0" w:space="0" w:color="auto"/>
          </w:divBdr>
        </w:div>
        <w:div w:id="1590232981">
          <w:marLeft w:val="1166"/>
          <w:marRight w:val="0"/>
          <w:marTop w:val="101"/>
          <w:marBottom w:val="0"/>
          <w:divBdr>
            <w:top w:val="none" w:sz="0" w:space="0" w:color="auto"/>
            <w:left w:val="none" w:sz="0" w:space="0" w:color="auto"/>
            <w:bottom w:val="none" w:sz="0" w:space="0" w:color="auto"/>
            <w:right w:val="none" w:sz="0" w:space="0" w:color="auto"/>
          </w:divBdr>
        </w:div>
        <w:div w:id="1057096186">
          <w:marLeft w:val="547"/>
          <w:marRight w:val="0"/>
          <w:marTop w:val="115"/>
          <w:marBottom w:val="0"/>
          <w:divBdr>
            <w:top w:val="none" w:sz="0" w:space="0" w:color="auto"/>
            <w:left w:val="none" w:sz="0" w:space="0" w:color="auto"/>
            <w:bottom w:val="none" w:sz="0" w:space="0" w:color="auto"/>
            <w:right w:val="none" w:sz="0" w:space="0" w:color="auto"/>
          </w:divBdr>
        </w:div>
        <w:div w:id="1112675636">
          <w:marLeft w:val="1166"/>
          <w:marRight w:val="0"/>
          <w:marTop w:val="101"/>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0EC7B-C49B-4D7A-911F-EDDBA21A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4738</TotalTime>
  <Pages>4</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11128</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148</cp:revision>
  <cp:lastPrinted>2007-09-06T06:59:00Z</cp:lastPrinted>
  <dcterms:created xsi:type="dcterms:W3CDTF">2019-09-28T03:54:00Z</dcterms:created>
  <dcterms:modified xsi:type="dcterms:W3CDTF">2020-04-10T13:26:00Z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